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AC32" w14:textId="77777777" w:rsidR="00C4132E" w:rsidRPr="005A2CF7" w:rsidRDefault="00C4132E" w:rsidP="00377968">
      <w:pPr>
        <w:jc w:val="center"/>
        <w:rPr>
          <w:rFonts w:cstheme="minorHAnsi"/>
          <w:b/>
          <w:u w:val="single"/>
          <w:lang w:val="en-GB"/>
        </w:rPr>
      </w:pPr>
      <w:bookmarkStart w:id="0" w:name="_GoBack"/>
      <w:bookmarkEnd w:id="0"/>
    </w:p>
    <w:p w14:paraId="602AE689" w14:textId="7D8AD069"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D933F6">
        <w:rPr>
          <w:rStyle w:val="FootnoteReference"/>
          <w:rFonts w:ascii="Calibri" w:eastAsia="Calibri" w:hAnsi="Calibri" w:cs="Arial"/>
          <w:lang w:val="it-IT"/>
        </w:rPr>
        <w:footnoteReference w:id="1"/>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A1064B">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3F712839" w14:textId="184F9CD3" w:rsidR="00FA7AEB" w:rsidRPr="00FA7AEB" w:rsidRDefault="00FA7AEB" w:rsidP="00D933F6">
      <w:pPr>
        <w:tabs>
          <w:tab w:val="left" w:pos="7353"/>
          <w:tab w:val="right" w:pos="9639"/>
        </w:tabs>
        <w:rPr>
          <w:rFonts w:ascii="Calibri" w:hAnsi="Calibri"/>
          <w:lang w:val="en-US"/>
        </w:rPr>
      </w:pPr>
      <w:r w:rsidRPr="00D24B65">
        <w:rPr>
          <w:rFonts w:ascii="Calibri" w:eastAsia="Calibri" w:hAnsi="Calibri" w:cs="Arial"/>
          <w:lang w:val="it-IT"/>
        </w:rPr>
        <w:t xml:space="preserve"> </w:t>
      </w:r>
      <w:bookmarkStart w:id="1" w:name="_Hlk37255606"/>
      <w:r w:rsidRPr="00FA7AEB">
        <w:rPr>
          <w:rFonts w:ascii="Calibri" w:hAnsi="Calibri"/>
          <w:lang w:val="en-US"/>
        </w:rPr>
        <w:t xml:space="preserve"> </w:t>
      </w:r>
    </w:p>
    <w:bookmarkEnd w:id="1"/>
    <w:p w14:paraId="588E957A" w14:textId="49BB8825"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US"/>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205DE7DE"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A1064B">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A1064B">
        <w:rPr>
          <w:rFonts w:cstheme="minorHAnsi"/>
          <w:lang w:val="en-GB"/>
        </w:rPr>
        <w:t>TARGET</w:t>
      </w:r>
      <w:r w:rsidRPr="00D0714E">
        <w:rPr>
          <w:rFonts w:cstheme="minorHAnsi"/>
          <w:lang w:val="en-GB"/>
        </w:rPr>
        <w:t xml:space="preserve"> </w:t>
      </w:r>
      <w:r w:rsidR="00A1064B">
        <w:rPr>
          <w:rFonts w:ascii="Calibri" w:hAnsi="Calibri" w:cs="Calibri"/>
          <w:lang w:val="en-GB"/>
        </w:rPr>
        <w:t>Registration</w:t>
      </w:r>
      <w:r w:rsidR="00A1064B" w:rsidRPr="00BA17F8">
        <w:rPr>
          <w:rFonts w:ascii="Calibri" w:hAnsi="Calibri" w:cs="Calibri"/>
          <w:lang w:val="en-GB"/>
        </w:rPr>
        <w:t xml:space="preserve"> </w:t>
      </w:r>
      <w:r w:rsidR="00A1064B">
        <w:rPr>
          <w:rFonts w:ascii="Calibri" w:hAnsi="Calibri" w:cs="Calibri"/>
          <w:lang w:val="en-GB"/>
        </w:rPr>
        <w:t>Form”</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0714E">
        <w:rPr>
          <w:rFonts w:cstheme="minorHAnsi"/>
          <w:lang w:val="en-GB"/>
        </w:rPr>
        <w:t xml:space="preserve">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US"/>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A1064B">
        <w:rPr>
          <w:rFonts w:cstheme="minorHAnsi"/>
          <w:lang w:val="en-GB"/>
        </w:rPr>
        <w:t>TARGET</w:t>
      </w:r>
      <w:r w:rsidRPr="00D0714E">
        <w:rPr>
          <w:rFonts w:cstheme="minorHAnsi"/>
          <w:lang w:val="en-GB"/>
        </w:rPr>
        <w:t xml:space="preserve">-GR” </w:t>
      </w:r>
      <w:r w:rsidR="00A1064B">
        <w:rPr>
          <w:rFonts w:cstheme="minorHAnsi"/>
          <w:lang w:val="en-GB"/>
        </w:rPr>
        <w:t>dated…………….</w:t>
      </w:r>
      <w:r w:rsidRPr="00D0714E">
        <w:rPr>
          <w:rFonts w:cstheme="minorHAnsi"/>
          <w:lang w:val="en-GB"/>
        </w:rPr>
        <w:t>to ENEXCLEAR.</w:t>
      </w:r>
    </w:p>
    <w:p w14:paraId="3C042095" w14:textId="481F12BA" w:rsidR="00377968" w:rsidRPr="005B5945"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 xml:space="preserve">in accordance with the terms of the Clearing Rulebook for Transactions on </w:t>
      </w:r>
      <w:proofErr w:type="spellStart"/>
      <w:r w:rsidR="00532569">
        <w:rPr>
          <w:lang w:val="en-US"/>
        </w:rPr>
        <w:t>HEnEx’s</w:t>
      </w:r>
      <w:proofErr w:type="spellEnd"/>
      <w:r w:rsidR="00532569">
        <w:rPr>
          <w:lang w:val="en-US"/>
        </w:rPr>
        <w:t xml:space="preserve"> Natural Gas Trading Platform</w:t>
      </w:r>
      <w:r w:rsidR="005F07AB" w:rsidRPr="005F07AB">
        <w:rPr>
          <w:rFonts w:cstheme="minorHAnsi"/>
          <w:lang w:val="en-GB"/>
        </w:rPr>
        <w:t xml:space="preserve"> </w:t>
      </w:r>
      <w:r w:rsidR="00C426E3" w:rsidRPr="00C426E3">
        <w:rPr>
          <w:rFonts w:cstheme="minorHAnsi"/>
          <w:lang w:val="en-GB"/>
        </w:rPr>
        <w:t xml:space="preserve">(Regulatory Authority for Energy (RAE), Resolution 89/2022) “Approval of the Clearing Rulebook for Transactions on </w:t>
      </w:r>
      <w:proofErr w:type="spellStart"/>
      <w:r w:rsidR="00C426E3" w:rsidRPr="00C426E3">
        <w:rPr>
          <w:rFonts w:cstheme="minorHAnsi"/>
          <w:lang w:val="en-GB"/>
        </w:rPr>
        <w:t>HEnEx’s</w:t>
      </w:r>
      <w:proofErr w:type="spellEnd"/>
      <w:r w:rsidR="00C426E3" w:rsidRPr="00C426E3">
        <w:rPr>
          <w:rFonts w:cstheme="minorHAnsi"/>
          <w:lang w:val="en-GB"/>
        </w:rPr>
        <w:t xml:space="preserve"> Natural Gas Trading Platform in accordance with art. 19 of L.4425/2016 (Government Gazette Α’ 185), as in force» hereinafter “Clearing Rulebook”.</w:t>
      </w:r>
    </w:p>
    <w:p w14:paraId="42A4369B" w14:textId="77777777" w:rsidR="00141B38" w:rsidRPr="00D3607C" w:rsidRDefault="00141B38" w:rsidP="00377968">
      <w:pPr>
        <w:spacing w:before="120" w:after="120" w:line="240" w:lineRule="atLeast"/>
        <w:rPr>
          <w:rFonts w:cstheme="minorHAnsi"/>
          <w:b/>
          <w:lang w:val="en-GB"/>
        </w:rPr>
      </w:pPr>
    </w:p>
    <w:p w14:paraId="0562D4B7" w14:textId="2B6E5449" w:rsidR="00377968" w:rsidRDefault="00477743" w:rsidP="00377968">
      <w:pPr>
        <w:spacing w:before="120" w:after="120" w:line="240" w:lineRule="atLeast"/>
        <w:rPr>
          <w:rFonts w:cstheme="minorHAnsi"/>
          <w:b/>
          <w:lang w:val="en-GB"/>
        </w:rPr>
      </w:pPr>
      <w:proofErr w:type="spellStart"/>
      <w:r>
        <w:rPr>
          <w:rFonts w:cstheme="minorHAnsi"/>
          <w:b/>
        </w:rPr>
        <w:lastRenderedPageBreak/>
        <w:t>Taking</w:t>
      </w:r>
      <w:proofErr w:type="spellEnd"/>
      <w:r>
        <w:rPr>
          <w:rFonts w:cstheme="minorHAnsi"/>
          <w:b/>
        </w:rPr>
        <w:t xml:space="preserve"> </w:t>
      </w:r>
      <w:proofErr w:type="spellStart"/>
      <w:r>
        <w:rPr>
          <w:rFonts w:cstheme="minorHAnsi"/>
          <w:b/>
        </w:rPr>
        <w:t>into</w:t>
      </w:r>
      <w:proofErr w:type="spellEnd"/>
      <w:r>
        <w:rPr>
          <w:rFonts w:cstheme="minorHAnsi"/>
          <w:b/>
        </w:rPr>
        <w:t xml:space="preserve"> </w:t>
      </w:r>
      <w:proofErr w:type="spellStart"/>
      <w:r>
        <w:rPr>
          <w:rFonts w:cstheme="minorHAnsi"/>
          <w:b/>
        </w:rPr>
        <w:t>account</w:t>
      </w:r>
      <w:proofErr w:type="spellEnd"/>
      <w:r w:rsidR="00377968" w:rsidRPr="005A2CF7">
        <w:rPr>
          <w:rFonts w:cstheme="minorHAnsi"/>
          <w:b/>
          <w:lang w:val="en-GB"/>
        </w:rPr>
        <w:t>:</w:t>
      </w:r>
    </w:p>
    <w:p w14:paraId="0D0A974F" w14:textId="6FED484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A1064B">
        <w:rPr>
          <w:rFonts w:cstheme="minorHAnsi"/>
          <w:lang w:val="en-GB"/>
        </w:rPr>
        <w:t>2</w:t>
      </w:r>
      <w:r w:rsidRPr="005A2CF7">
        <w:rPr>
          <w:rFonts w:cstheme="minorHAnsi"/>
          <w:lang w:val="en-GB"/>
        </w:rPr>
        <w:t>2/</w:t>
      </w:r>
      <w:r w:rsidR="00A1064B">
        <w:rPr>
          <w:rFonts w:cstheme="minorHAnsi"/>
          <w:lang w:val="en-GB"/>
        </w:rPr>
        <w:t>912</w:t>
      </w:r>
      <w:r w:rsidRPr="005A2CF7">
        <w:rPr>
          <w:rFonts w:cstheme="minorHAnsi"/>
          <w:lang w:val="en-GB"/>
        </w:rPr>
        <w:t xml:space="preserve"> </w:t>
      </w:r>
      <w:r w:rsidR="00A1064B">
        <w:rPr>
          <w:lang w:val="en-GB"/>
        </w:rPr>
        <w:t>of 24</w:t>
      </w:r>
      <w:r w:rsidR="00A1064B" w:rsidRPr="00BA17F8">
        <w:rPr>
          <w:vertAlign w:val="superscript"/>
          <w:lang w:val="en-GB"/>
        </w:rPr>
        <w:t>th</w:t>
      </w:r>
      <w:r w:rsidR="00A1064B">
        <w:rPr>
          <w:lang w:val="en-GB"/>
        </w:rPr>
        <w:t xml:space="preserve"> of February</w:t>
      </w:r>
      <w:r w:rsidR="00A1064B" w:rsidRPr="005A2CF7">
        <w:rPr>
          <w:rFonts w:cstheme="minorHAnsi"/>
          <w:lang w:val="en-GB"/>
        </w:rPr>
        <w:t xml:space="preserve"> </w:t>
      </w:r>
      <w:r w:rsidRPr="005A2CF7">
        <w:rPr>
          <w:rFonts w:cstheme="minorHAnsi"/>
          <w:lang w:val="en-GB"/>
        </w:rPr>
        <w:t>“</w:t>
      </w:r>
      <w:r w:rsidRPr="00D10EA0">
        <w:rPr>
          <w:rFonts w:cstheme="minorHAnsi"/>
          <w:lang w:val="en-GB"/>
        </w:rPr>
        <w:t>on a Trans-European Automated Real-time Gross settlement Express Transfer system (</w:t>
      </w:r>
      <w:r w:rsidR="00A1064B">
        <w:rPr>
          <w:rFonts w:cstheme="minorHAnsi"/>
          <w:lang w:val="en-GB"/>
        </w:rPr>
        <w:t>TARGET</w:t>
      </w:r>
      <w:r w:rsidRPr="00D10EA0">
        <w:rPr>
          <w:rFonts w:cstheme="minorHAnsi"/>
          <w:lang w:val="en-GB"/>
        </w:rPr>
        <w:t>)”.</w:t>
      </w:r>
    </w:p>
    <w:p w14:paraId="5E3C5474" w14:textId="5B2F375A" w:rsidR="00D10EA0" w:rsidRDefault="00141B38" w:rsidP="00377968">
      <w:pPr>
        <w:pStyle w:val="ListParagraph"/>
        <w:numPr>
          <w:ilvl w:val="0"/>
          <w:numId w:val="5"/>
        </w:numPr>
        <w:spacing w:after="0" w:line="360" w:lineRule="auto"/>
        <w:jc w:val="both"/>
        <w:rPr>
          <w:rFonts w:cstheme="minorHAnsi"/>
          <w:lang w:val="en-GB"/>
        </w:rPr>
      </w:pPr>
      <w:r>
        <w:rPr>
          <w:rFonts w:cstheme="minorHAnsi"/>
          <w:lang w:val="en-GB"/>
        </w:rPr>
        <w:t>The Regulation</w:t>
      </w:r>
      <w:r w:rsidR="00377968" w:rsidRPr="00D10EA0">
        <w:rPr>
          <w:rFonts w:cstheme="minorHAnsi"/>
          <w:lang w:val="en-GB"/>
        </w:rPr>
        <w:t xml:space="preserve"> on the Operation of the Real-time Gross settlement Express Transfer system </w:t>
      </w:r>
      <w:r w:rsidR="00A1064B" w:rsidRPr="00141B38">
        <w:rPr>
          <w:rFonts w:cstheme="minorHAnsi"/>
          <w:lang w:val="en-GB"/>
        </w:rPr>
        <w:t>TARGET</w:t>
      </w:r>
      <w:r w:rsidR="00377968" w:rsidRPr="00141B38">
        <w:rPr>
          <w:rFonts w:cstheme="minorHAnsi"/>
          <w:lang w:val="en-GB"/>
        </w:rPr>
        <w:t xml:space="preserve">-GR </w:t>
      </w:r>
      <w:r w:rsidR="00377968" w:rsidRPr="00D10EA0">
        <w:rPr>
          <w:rFonts w:cstheme="minorHAnsi"/>
          <w:lang w:val="en-GB"/>
        </w:rPr>
        <w:t>(hereinafter “</w:t>
      </w:r>
      <w:r w:rsidR="00A1064B">
        <w:rPr>
          <w:rFonts w:cstheme="minorHAnsi"/>
          <w:lang w:val="en-GB"/>
        </w:rPr>
        <w:t>TARGET</w:t>
      </w:r>
      <w:r>
        <w:rPr>
          <w:rFonts w:cstheme="minorHAnsi"/>
          <w:lang w:val="en-GB"/>
        </w:rPr>
        <w:t>-GR Operating Regulation</w:t>
      </w:r>
      <w:r w:rsidR="00377968" w:rsidRPr="00D10EA0">
        <w:rPr>
          <w:rFonts w:cstheme="minorHAnsi"/>
          <w:lang w:val="en-GB"/>
        </w:rPr>
        <w:t xml:space="preserve">”) </w:t>
      </w:r>
      <w:r w:rsidR="00A1064B">
        <w:rPr>
          <w:rFonts w:cs="Arial"/>
          <w:lang w:val="en-GB"/>
        </w:rPr>
        <w:t>including</w:t>
      </w:r>
      <w:r w:rsidR="00A1064B">
        <w:rPr>
          <w:rStyle w:val="rynqvb"/>
          <w:lang w:val="en"/>
        </w:rPr>
        <w:t xml:space="preserve"> the annex and its appendices, as it currently applies pursuant to Acts No. 122/15.09.2022 of the Monetary Policy Council (MPC) of the Bank of Greece (Government Gazette B' 5020/26.09.2022) and No. 123/14.11.2022 of the Monetary Policy Council (MPC) of the Bank of Greece (Government Gazette B' 5853/17.11.2022) and any amendments thereto </w:t>
      </w:r>
      <w:r w:rsidR="00A1064B">
        <w:rPr>
          <w:lang w:val="en-GB"/>
        </w:rPr>
        <w:t>and the terms hereof</w:t>
      </w:r>
      <w:r w:rsidR="00377968" w:rsidRPr="00D10EA0">
        <w:rPr>
          <w:rFonts w:cstheme="minorHAnsi"/>
          <w:lang w:val="en-GB"/>
        </w:rPr>
        <w:t>.</w:t>
      </w:r>
    </w:p>
    <w:p w14:paraId="6FC1B25D" w14:textId="27131621"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w:t>
      </w:r>
      <w:r w:rsidR="007B0934">
        <w:rPr>
          <w:rFonts w:cstheme="minorHAnsi"/>
          <w:lang w:val="en-GB"/>
        </w:rPr>
        <w:t xml:space="preserve"> 13, par.2 and article 19, par.1 </w:t>
      </w:r>
      <w:r w:rsidRPr="00D10EA0">
        <w:rPr>
          <w:rFonts w:cstheme="minorHAnsi"/>
          <w:lang w:val="en-GB"/>
        </w:rPr>
        <w:t xml:space="preserve">of the Law 4425/2016, performs the cash settlement of transactions on </w:t>
      </w:r>
      <w:r w:rsidR="00412BFC">
        <w:rPr>
          <w:rFonts w:cs="Arial"/>
          <w:lang w:val="en-GB"/>
        </w:rPr>
        <w:t>the Natural Gas Trading Platform</w:t>
      </w:r>
      <w:r w:rsidR="00412BFC" w:rsidRPr="00D10EA0" w:rsidDel="00412BFC">
        <w:rPr>
          <w:rFonts w:cstheme="minorHAnsi"/>
          <w:lang w:val="en-GB"/>
        </w:rPr>
        <w:t xml:space="preserve"> </w:t>
      </w:r>
      <w:r w:rsidRPr="00D10EA0">
        <w:rPr>
          <w:rFonts w:cstheme="minorHAnsi"/>
          <w:lang w:val="en-GB"/>
        </w:rPr>
        <w:t>of HEnEx within the framework of the provision of relevant services to the Clearing Members participating in the Clearing System of EnExClear.</w:t>
      </w:r>
    </w:p>
    <w:p w14:paraId="693A1CC9" w14:textId="7C8226D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w:t>
      </w:r>
      <w:r w:rsidR="00A1064B">
        <w:rPr>
          <w:rFonts w:cstheme="minorHAnsi"/>
          <w:lang w:val="en-GB"/>
        </w:rPr>
        <w:t>TARGET</w:t>
      </w:r>
      <w:r w:rsidRPr="00D10EA0">
        <w:rPr>
          <w:rFonts w:cstheme="minorHAnsi"/>
          <w:lang w:val="en-GB"/>
        </w:rPr>
        <w:t xml:space="preserve">-GR (as a component of </w:t>
      </w:r>
      <w:r w:rsidR="00A1064B">
        <w:rPr>
          <w:rFonts w:cstheme="minorHAnsi"/>
          <w:lang w:val="en-GB"/>
        </w:rPr>
        <w:t>TARGET</w:t>
      </w:r>
      <w:r w:rsidRPr="00D10EA0">
        <w:rPr>
          <w:rFonts w:cstheme="minorHAnsi"/>
          <w:lang w:val="en-GB"/>
        </w:rPr>
        <w:t xml:space="preserve">), which is operated by the Bank of Greece, in accordance with the provisions of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as well as the fact that </w:t>
      </w:r>
      <w:proofErr w:type="spellStart"/>
      <w:r w:rsidRPr="00D10EA0">
        <w:rPr>
          <w:rFonts w:cstheme="minorHAnsi"/>
          <w:lang w:val="en-GB"/>
        </w:rPr>
        <w:t>EnExClear’s</w:t>
      </w:r>
      <w:proofErr w:type="spellEnd"/>
      <w:r w:rsidRPr="00D10EA0">
        <w:rPr>
          <w:rFonts w:cstheme="minorHAnsi"/>
          <w:lang w:val="en-GB"/>
        </w:rPr>
        <w:t xml:space="preserve"> relevant settlement system, which is an “ancillary system” in the sense of </w:t>
      </w:r>
      <w:r w:rsidR="00A1064B">
        <w:rPr>
          <w:rFonts w:cstheme="minorHAnsi"/>
          <w:lang w:val="en-GB"/>
        </w:rPr>
        <w:t>TARGET</w:t>
      </w:r>
      <w:r w:rsidRPr="00D10EA0">
        <w:rPr>
          <w:rFonts w:cstheme="minorHAnsi"/>
          <w:lang w:val="en-GB"/>
        </w:rPr>
        <w:t xml:space="preserve">-GR Operating Regulation, (hereinafter “EnExClear Ancillary System”), has been connected with </w:t>
      </w:r>
      <w:r w:rsidR="00A1064B">
        <w:rPr>
          <w:rFonts w:cstheme="minorHAnsi"/>
          <w:lang w:val="en-GB"/>
        </w:rPr>
        <w:t>TARGET</w:t>
      </w:r>
      <w:r w:rsidRPr="00D10EA0">
        <w:rPr>
          <w:rFonts w:cstheme="minorHAnsi"/>
          <w:lang w:val="en-GB"/>
        </w:rPr>
        <w:t xml:space="preserve">-GR. </w:t>
      </w:r>
    </w:p>
    <w:p w14:paraId="32B475DF" w14:textId="379FA8F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which may provide cash settlement services, through </w:t>
      </w:r>
      <w:r w:rsidR="00A1064B">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6EB84A2F"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A1064B">
        <w:rPr>
          <w:rFonts w:cstheme="minorHAnsi"/>
          <w:lang w:val="en-GB"/>
        </w:rPr>
        <w:t>TARGET</w:t>
      </w:r>
      <w:r w:rsidR="00141B38">
        <w:rPr>
          <w:rFonts w:cstheme="minorHAnsi"/>
          <w:lang w:val="en-GB"/>
        </w:rPr>
        <w:t>-GR Operating Regulation</w:t>
      </w:r>
      <w:r w:rsidRPr="00D10EA0">
        <w:rPr>
          <w:rFonts w:cstheme="minorHAnsi"/>
          <w:lang w:val="en-GB"/>
        </w:rPr>
        <w:t xml:space="preserve"> and </w:t>
      </w:r>
      <w:proofErr w:type="spellStart"/>
      <w:r w:rsidRPr="00D10EA0">
        <w:rPr>
          <w:rFonts w:cstheme="minorHAnsi"/>
          <w:lang w:val="en-GB"/>
        </w:rPr>
        <w:t>EnExClear’s</w:t>
      </w:r>
      <w:proofErr w:type="spellEnd"/>
      <w:r w:rsidRPr="00D10EA0">
        <w:rPr>
          <w:rFonts w:cstheme="minorHAnsi"/>
          <w:lang w:val="en-GB"/>
        </w:rPr>
        <w:t xml:space="preserve"> procedures. </w:t>
      </w:r>
    </w:p>
    <w:p w14:paraId="55810FA7" w14:textId="7F67A188"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A1064B">
        <w:rPr>
          <w:rFonts w:cstheme="minorHAnsi"/>
          <w:lang w:val="en-GB"/>
        </w:rPr>
        <w:t>TARGET</w:t>
      </w:r>
      <w:r w:rsidRPr="00D10EA0">
        <w:rPr>
          <w:rFonts w:cstheme="minorHAnsi"/>
          <w:lang w:val="en-GB"/>
        </w:rPr>
        <w:t xml:space="preserve"> </w:t>
      </w:r>
      <w:r w:rsidR="00A1064B">
        <w:rPr>
          <w:rFonts w:ascii="Calibri" w:hAnsi="Calibri" w:cs="Calibri"/>
          <w:lang w:val="en-US"/>
        </w:rPr>
        <w:t>Registration</w:t>
      </w:r>
      <w:r w:rsidR="00A1064B" w:rsidRPr="00BA17F8">
        <w:rPr>
          <w:rFonts w:ascii="Calibri" w:hAnsi="Calibri" w:cs="Calibri"/>
          <w:lang w:val="en-GB"/>
        </w:rPr>
        <w:t xml:space="preserve"> </w:t>
      </w:r>
      <w:r w:rsidR="00A1064B">
        <w:rPr>
          <w:rFonts w:ascii="Calibri" w:hAnsi="Calibri" w:cs="Calibri"/>
          <w:lang w:val="en-US"/>
        </w:rPr>
        <w:t>Form</w:t>
      </w:r>
      <w:r w:rsidR="00A1064B">
        <w:rPr>
          <w:rFonts w:ascii="Calibri" w:hAnsi="Calibri" w:cs="Calibri"/>
          <w:lang w:val="en-GB"/>
        </w:rPr>
        <w:t>”</w:t>
      </w:r>
      <w:r w:rsidR="00A1064B" w:rsidRPr="00BA17F8">
        <w:rPr>
          <w:rFonts w:ascii="Calibri" w:hAnsi="Calibri" w:cs="Calibri"/>
          <w:lang w:val="en-GB"/>
        </w:rPr>
        <w:t xml:space="preserve">, </w:t>
      </w:r>
      <w:r w:rsidR="00A1064B">
        <w:rPr>
          <w:rFonts w:ascii="Calibri" w:hAnsi="Calibri" w:cs="Calibri"/>
          <w:lang w:val="en-US"/>
        </w:rPr>
        <w:t>section</w:t>
      </w:r>
      <w:r w:rsidR="00A1064B" w:rsidRPr="00BA17F8">
        <w:rPr>
          <w:rFonts w:ascii="Calibri" w:hAnsi="Calibri" w:cs="Calibri"/>
          <w:lang w:val="en-GB"/>
        </w:rPr>
        <w:t xml:space="preserve"> </w:t>
      </w:r>
      <w:r w:rsidR="00A1064B">
        <w:rPr>
          <w:rFonts w:ascii="Calibri" w:hAnsi="Calibri" w:cs="Calibri"/>
          <w:lang w:val="en-GB"/>
        </w:rPr>
        <w:t>“</w:t>
      </w:r>
      <w:r w:rsidR="00A1064B">
        <w:rPr>
          <w:rFonts w:ascii="Calibri" w:hAnsi="Calibri" w:cs="Calibri"/>
          <w:lang w:val="en-US"/>
        </w:rPr>
        <w:t>Settlement</w:t>
      </w:r>
      <w:r w:rsidR="00A1064B" w:rsidRPr="00BA17F8">
        <w:rPr>
          <w:rFonts w:ascii="Calibri" w:hAnsi="Calibri" w:cs="Calibri"/>
          <w:lang w:val="en-GB"/>
        </w:rPr>
        <w:t xml:space="preserve"> </w:t>
      </w:r>
      <w:r w:rsidR="00A1064B">
        <w:rPr>
          <w:rFonts w:ascii="Calibri" w:hAnsi="Calibri" w:cs="Calibri"/>
          <w:lang w:val="en-US"/>
        </w:rPr>
        <w:t>Bank</w:t>
      </w:r>
      <w:r w:rsidR="00A1064B" w:rsidRPr="00BA17F8">
        <w:rPr>
          <w:rFonts w:ascii="Calibri" w:hAnsi="Calibri" w:cs="Calibri"/>
          <w:lang w:val="en-GB"/>
        </w:rPr>
        <w:t xml:space="preserve"> </w:t>
      </w:r>
      <w:r w:rsidR="00A1064B">
        <w:rPr>
          <w:rFonts w:ascii="Calibri" w:hAnsi="Calibri" w:cs="Calibri"/>
          <w:lang w:val="en-US"/>
        </w:rPr>
        <w:t>Account</w:t>
      </w:r>
      <w:r w:rsidR="00A1064B" w:rsidRPr="00BA17F8">
        <w:rPr>
          <w:rFonts w:ascii="Calibri" w:hAnsi="Calibri" w:cs="Calibri"/>
          <w:lang w:val="en-GB"/>
        </w:rPr>
        <w:t xml:space="preserve"> </w:t>
      </w:r>
      <w:r w:rsidR="00A1064B">
        <w:rPr>
          <w:rFonts w:ascii="Calibri" w:hAnsi="Calibri" w:cs="Calibri"/>
          <w:lang w:val="en-US"/>
        </w:rPr>
        <w:t>Group</w:t>
      </w:r>
      <w:r w:rsidR="00A1064B">
        <w:rPr>
          <w:rFonts w:ascii="Calibri" w:hAnsi="Calibri" w:cs="Calibri"/>
          <w:lang w:val="en-GB"/>
        </w:rPr>
        <w:t>”</w:t>
      </w:r>
      <w:r w:rsidRPr="00D10EA0">
        <w:rPr>
          <w:rFonts w:cstheme="minorHAnsi"/>
          <w:lang w:val="en-GB"/>
        </w:rPr>
        <w:t xml:space="preserve">, as signed by the Settlement Bank and </w:t>
      </w:r>
      <w:r w:rsidR="00A1064B">
        <w:rPr>
          <w:rFonts w:cstheme="minorHAnsi"/>
          <w:lang w:val="en-GB"/>
        </w:rPr>
        <w:t xml:space="preserve">EnExClear </w:t>
      </w:r>
      <w:r w:rsidRPr="00D10EA0">
        <w:rPr>
          <w:rFonts w:cstheme="minorHAnsi"/>
          <w:lang w:val="en-GB"/>
        </w:rPr>
        <w:t xml:space="preserve">on the basis of which the Settlement Bank will </w:t>
      </w:r>
      <w:r w:rsidR="00A1064B">
        <w:rPr>
          <w:rFonts w:cstheme="minorHAnsi"/>
          <w:lang w:val="en-GB"/>
        </w:rPr>
        <w:t xml:space="preserve">have </w:t>
      </w:r>
      <w:r w:rsidRPr="00D10EA0">
        <w:rPr>
          <w:rFonts w:cstheme="minorHAnsi"/>
          <w:lang w:val="en-GB"/>
        </w:rPr>
        <w:t>open</w:t>
      </w:r>
      <w:r w:rsidR="00A1064B">
        <w:rPr>
          <w:rFonts w:cstheme="minorHAnsi"/>
          <w:lang w:val="en-GB"/>
        </w:rPr>
        <w:t>ed one or more</w:t>
      </w:r>
      <w:r w:rsidRPr="00D10EA0">
        <w:rPr>
          <w:rFonts w:cstheme="minorHAnsi"/>
          <w:lang w:val="en-GB"/>
        </w:rPr>
        <w:t xml:space="preserve"> </w:t>
      </w:r>
      <w:r w:rsidR="00A1064B">
        <w:rPr>
          <w:rFonts w:cstheme="minorHAnsi"/>
          <w:lang w:val="en-GB"/>
        </w:rPr>
        <w:t>Sub-a</w:t>
      </w:r>
      <w:r w:rsidRPr="00D10EA0">
        <w:rPr>
          <w:rFonts w:cstheme="minorHAnsi"/>
          <w:lang w:val="en-GB"/>
        </w:rPr>
        <w:t>ccount</w:t>
      </w:r>
      <w:r w:rsidR="00A1064B">
        <w:rPr>
          <w:rFonts w:cstheme="minorHAnsi"/>
          <w:lang w:val="en-GB"/>
        </w:rPr>
        <w:t>s</w:t>
      </w:r>
      <w:r w:rsidRPr="00D10EA0">
        <w:rPr>
          <w:rFonts w:cstheme="minorHAnsi"/>
          <w:lang w:val="en-GB"/>
        </w:rPr>
        <w:t xml:space="preserve"> for the Clearing Member in </w:t>
      </w:r>
      <w:r w:rsidR="00A1064B">
        <w:rPr>
          <w:rFonts w:cstheme="minorHAnsi"/>
          <w:lang w:val="en-GB"/>
        </w:rPr>
        <w:t>TARGET</w:t>
      </w:r>
      <w:r w:rsidRPr="00D10EA0">
        <w:rPr>
          <w:rFonts w:cstheme="minorHAnsi"/>
          <w:lang w:val="en-GB"/>
        </w:rPr>
        <w:t xml:space="preserve">-GR </w:t>
      </w:r>
      <w:r w:rsidR="00A1064B">
        <w:rPr>
          <w:rFonts w:cs="Arial"/>
          <w:lang w:val="en-GB"/>
        </w:rPr>
        <w:t>according to the provisions of the TARGET-GR Rulebook</w:t>
      </w:r>
      <w:r w:rsidRPr="00D10EA0">
        <w:rPr>
          <w:rFonts w:cstheme="minorHAnsi"/>
          <w:lang w:val="en-GB"/>
        </w:rPr>
        <w:t xml:space="preserve">.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65640BB9"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w:t>
      </w:r>
      <w:r w:rsidRPr="005A2CF7">
        <w:rPr>
          <w:rFonts w:cstheme="minorHAnsi"/>
          <w:lang w:val="en-GB"/>
        </w:rPr>
        <w:lastRenderedPageBreak/>
        <w:t xml:space="preserve">its cash settlement of transactions,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A1064B">
        <w:rPr>
          <w:rFonts w:cstheme="minorHAnsi"/>
          <w:lang w:val="en-GB"/>
        </w:rPr>
        <w:t>TARGET</w:t>
      </w:r>
      <w:r w:rsidRPr="005A2CF7">
        <w:rPr>
          <w:rFonts w:cstheme="minorHAnsi"/>
          <w:lang w:val="en-GB"/>
        </w:rPr>
        <w:t>-GR”,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05EC94A4"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00141B38">
        <w:rPr>
          <w:rFonts w:cstheme="minorHAnsi"/>
          <w:lang w:val="en-GB"/>
        </w:rPr>
        <w:t>necessary S</w:t>
      </w:r>
      <w:r w:rsidRPr="005A2CF7">
        <w:rPr>
          <w:rFonts w:cstheme="minorHAnsi"/>
          <w:lang w:val="en-GB"/>
        </w:rPr>
        <w:t>ub</w:t>
      </w:r>
      <w:r w:rsidR="00141B38">
        <w:rPr>
          <w:rFonts w:cstheme="minorHAnsi"/>
          <w:lang w:val="en-GB"/>
        </w:rPr>
        <w:t>-</w:t>
      </w:r>
      <w:r w:rsidRPr="005A2CF7">
        <w:rPr>
          <w:rFonts w:cstheme="minorHAnsi"/>
          <w:lang w:val="en-GB"/>
        </w:rPr>
        <w:t xml:space="preserve">accounts, as instructed, in </w:t>
      </w:r>
      <w:r w:rsidR="00A1064B">
        <w:rPr>
          <w:rFonts w:cstheme="minorHAnsi"/>
          <w:lang w:val="en-GB"/>
        </w:rPr>
        <w:t>TARGET</w:t>
      </w:r>
      <w:r w:rsidRPr="005A2CF7">
        <w:rPr>
          <w:rFonts w:cstheme="minorHAnsi"/>
          <w:lang w:val="en-GB"/>
        </w:rPr>
        <w:t xml:space="preserve">-GR, under its </w:t>
      </w:r>
      <w:r w:rsidR="00A1064B">
        <w:rPr>
          <w:rFonts w:cs="Arial"/>
          <w:lang w:val="en-GB"/>
        </w:rPr>
        <w:t xml:space="preserve">Dedicated Cash Account for real time </w:t>
      </w:r>
      <w:r w:rsidR="00A1064B" w:rsidRPr="00584DA3">
        <w:rPr>
          <w:rFonts w:cs="Arial"/>
          <w:lang w:val="en-GB"/>
        </w:rPr>
        <w:t>cash settlement</w:t>
      </w:r>
      <w:r w:rsidRPr="005A2CF7">
        <w:rPr>
          <w:rFonts w:cstheme="minorHAnsi"/>
          <w:lang w:val="en-GB"/>
        </w:rPr>
        <w:t xml:space="preserve"> in </w:t>
      </w:r>
      <w:r w:rsidR="00A1064B">
        <w:rPr>
          <w:rFonts w:cstheme="minorHAnsi"/>
          <w:lang w:val="en-GB"/>
        </w:rPr>
        <w:t>TARGET</w:t>
      </w:r>
      <w:r w:rsidRPr="005A2CF7">
        <w:rPr>
          <w:rFonts w:cstheme="minorHAnsi"/>
          <w:lang w:val="en-GB"/>
        </w:rPr>
        <w:t xml:space="preserve">-GR at </w:t>
      </w:r>
      <w:r w:rsidR="006B770E">
        <w:rPr>
          <w:rFonts w:cs="Arial"/>
          <w:lang w:val="en-GB"/>
        </w:rPr>
        <w:t xml:space="preserve">the </w:t>
      </w:r>
      <w:r w:rsidR="006B770E">
        <w:rPr>
          <w:rStyle w:val="rynqvb"/>
          <w:lang w:val="en"/>
        </w:rPr>
        <w:t>competent Central Bank of the Settlement Bank</w:t>
      </w:r>
      <w:r w:rsidR="006B770E" w:rsidRPr="00584DA3">
        <w:rPr>
          <w:rFonts w:cs="Arial"/>
          <w:lang w:val="en-GB"/>
        </w:rPr>
        <w:t>,</w:t>
      </w:r>
      <w:r w:rsidR="006B770E">
        <w:rPr>
          <w:rFonts w:cs="Arial"/>
          <w:lang w:val="en-GB"/>
        </w:rPr>
        <w:t xml:space="preserve"> </w:t>
      </w:r>
      <w:r w:rsidR="006B770E">
        <w:rPr>
          <w:rStyle w:val="rynqvb"/>
          <w:lang w:val="en"/>
        </w:rPr>
        <w:t>within the meaning of the TARGET-GR Regulation</w:t>
      </w:r>
      <w:r w:rsidRPr="005A2CF7">
        <w:rPr>
          <w:rFonts w:cstheme="minorHAnsi"/>
          <w:lang w:val="en-GB"/>
        </w:rPr>
        <w:t>, o</w:t>
      </w:r>
      <w:r w:rsidR="00141B38">
        <w:rPr>
          <w:rFonts w:cstheme="minorHAnsi"/>
          <w:lang w:val="en-GB"/>
        </w:rPr>
        <w:t xml:space="preserve">n the basis of its declaration </w:t>
      </w:r>
      <w:r w:rsidR="00141B38" w:rsidRPr="005A2CF7">
        <w:rPr>
          <w:rFonts w:cstheme="minorHAnsi"/>
          <w:lang w:val="en-GB"/>
        </w:rPr>
        <w:t>“</w:t>
      </w:r>
      <w:r w:rsidR="00141B38">
        <w:rPr>
          <w:rFonts w:cstheme="minorHAnsi"/>
          <w:lang w:val="en-GB"/>
        </w:rPr>
        <w:t>TARGET</w:t>
      </w:r>
      <w:r w:rsidR="00141B38" w:rsidRPr="005A2CF7">
        <w:rPr>
          <w:rFonts w:cstheme="minorHAnsi"/>
          <w:lang w:val="en-GB"/>
        </w:rPr>
        <w:t xml:space="preserve"> </w:t>
      </w:r>
      <w:r w:rsidR="00141B38">
        <w:rPr>
          <w:rFonts w:cs="Arial"/>
          <w:lang w:val="en-GB"/>
        </w:rPr>
        <w:t>Registration Form”</w:t>
      </w:r>
      <w:r w:rsidR="00141B38" w:rsidRPr="00BB40FF">
        <w:rPr>
          <w:rFonts w:cs="Arial"/>
          <w:lang w:val="en-GB"/>
        </w:rPr>
        <w:t>, section</w:t>
      </w:r>
      <w:r w:rsidR="00141B38">
        <w:rPr>
          <w:rFonts w:cs="Arial"/>
          <w:lang w:val="en-GB"/>
        </w:rPr>
        <w:t xml:space="preserve"> “Settlement Bank Account Group”</w:t>
      </w:r>
      <w:r w:rsidRPr="005A2CF7">
        <w:rPr>
          <w:rFonts w:cstheme="minorHAnsi"/>
          <w:lang w:val="en-GB"/>
        </w:rPr>
        <w:t xml:space="preserve"> dated </w:t>
      </w:r>
      <w:sdt>
        <w:sdtPr>
          <w:rPr>
            <w:rFonts w:cstheme="minorHAnsi"/>
            <w:lang w:val="en-GB"/>
          </w:rPr>
          <w:id w:val="-526414812"/>
          <w:placeholder>
            <w:docPart w:val="DefaultPlaceholder_-1854013437"/>
          </w:placeholder>
          <w:showingPlcHdr/>
          <w:date>
            <w:dateFormat w:val="dd/MM/yyyy"/>
            <w:lid w:val="en-US"/>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xml:space="preserve">, as same is attached (under </w:t>
      </w:r>
      <w:r w:rsidR="006B770E">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and </w:t>
      </w:r>
      <w:proofErr w:type="spellStart"/>
      <w:r w:rsidRPr="005A2CF7">
        <w:rPr>
          <w:rFonts w:cstheme="minorHAnsi"/>
          <w:lang w:val="en-GB"/>
        </w:rPr>
        <w:t>EnExClear’s</w:t>
      </w:r>
      <w:proofErr w:type="spellEnd"/>
      <w:r w:rsidRPr="005A2CF7">
        <w:rPr>
          <w:rFonts w:cstheme="minorHAnsi"/>
          <w:lang w:val="en-GB"/>
        </w:rPr>
        <w:t xml:space="preserve"> procedures.</w:t>
      </w:r>
    </w:p>
    <w:p w14:paraId="30F4A147" w14:textId="2801C735"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A1064B">
        <w:rPr>
          <w:rFonts w:cstheme="minorHAnsi"/>
          <w:lang w:val="en-GB"/>
        </w:rPr>
        <w:t>Sub-a</w:t>
      </w:r>
      <w:r w:rsidRPr="005A2CF7">
        <w:rPr>
          <w:rFonts w:cstheme="minorHAnsi"/>
          <w:lang w:val="en-GB"/>
        </w:rPr>
        <w:t xml:space="preserve">ccounts. </w:t>
      </w:r>
    </w:p>
    <w:p w14:paraId="33DBDF22" w14:textId="37A0A475"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A1064B">
        <w:rPr>
          <w:rFonts w:cstheme="minorHAnsi"/>
          <w:lang w:val="en-GB"/>
        </w:rPr>
        <w:t>Sub-a</w:t>
      </w:r>
      <w:r w:rsidRPr="005A2CF7">
        <w:rPr>
          <w:rFonts w:cstheme="minorHAnsi"/>
          <w:lang w:val="en-GB"/>
        </w:rPr>
        <w:t xml:space="preserve">ccount that will be designated as </w:t>
      </w:r>
      <w:r w:rsidR="00412BFC">
        <w:rPr>
          <w:rFonts w:cstheme="minorHAnsi"/>
          <w:lang w:val="en-GB"/>
        </w:rPr>
        <w:t xml:space="preserve">a </w:t>
      </w:r>
      <w:r w:rsidR="00412BFC">
        <w:rPr>
          <w:rFonts w:eastAsia="Calibri" w:cs="Arial"/>
          <w:color w:val="000000"/>
          <w:lang w:val="en-GB"/>
        </w:rPr>
        <w:t>Natural Gas</w:t>
      </w:r>
      <w:r w:rsidR="00412BFC" w:rsidRPr="005A2CF7" w:rsidDel="00412BFC">
        <w:rPr>
          <w:rFonts w:cstheme="minorHAnsi"/>
          <w:lang w:val="en-GB"/>
        </w:rPr>
        <w:t xml:space="preserve"> </w:t>
      </w:r>
      <w:r w:rsidR="00A1064B">
        <w:rPr>
          <w:rFonts w:cstheme="minorHAnsi"/>
          <w:lang w:val="en-GB"/>
        </w:rPr>
        <w:t>Sub-a</w:t>
      </w:r>
      <w:r w:rsidRPr="005A2CF7">
        <w:rPr>
          <w:rFonts w:cstheme="minorHAnsi"/>
          <w:lang w:val="en-GB"/>
        </w:rPr>
        <w:t xml:space="preserve">ccount. </w:t>
      </w:r>
    </w:p>
    <w:p w14:paraId="150BF9FD" w14:textId="28D1DB7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w:t>
      </w:r>
      <w:r w:rsidR="00A1064B">
        <w:rPr>
          <w:rFonts w:eastAsia="Calibri" w:cstheme="minorHAnsi"/>
          <w:color w:val="000000"/>
          <w:lang w:val="en-GB"/>
        </w:rPr>
        <w:t>Sub-a</w:t>
      </w:r>
      <w:r w:rsidRPr="005A2CF7">
        <w:rPr>
          <w:rFonts w:eastAsia="Calibri" w:cstheme="minorHAnsi"/>
          <w:color w:val="000000"/>
          <w:lang w:val="en-GB"/>
        </w:rPr>
        <w:t xml:space="preserve">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00532569">
        <w:rPr>
          <w:rFonts w:eastAsia="Calibri" w:cstheme="minorHAnsi"/>
          <w:b/>
          <w:bCs/>
          <w:lang w:val="en-GB"/>
        </w:rPr>
        <w:t>G</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w:t>
      </w:r>
      <w:proofErr w:type="gramStart"/>
      <w:r w:rsidRPr="005A2CF7">
        <w:rPr>
          <w:rFonts w:eastAsia="Calibri" w:cstheme="minorHAnsi"/>
          <w:color w:val="000000"/>
          <w:lang w:val="en-GB"/>
        </w:rPr>
        <w:t>characters</w:t>
      </w:r>
      <w:proofErr w:type="gramEnd"/>
      <w:r w:rsidRPr="005A2CF7">
        <w:rPr>
          <w:rFonts w:eastAsia="Calibri" w:cstheme="minorHAnsi"/>
          <w:color w:val="000000"/>
          <w:lang w:val="en-GB"/>
        </w:rPr>
        <w:t xml:space="preserve"> maximum), </w:t>
      </w:r>
    </w:p>
    <w:p w14:paraId="2666B65A" w14:textId="15DC6E12"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w:t>
      </w:r>
      <w:r w:rsidR="00A1064B">
        <w:rPr>
          <w:rFonts w:eastAsia="Calibri" w:cstheme="minorHAnsi"/>
          <w:color w:val="000000"/>
          <w:lang w:val="en-GB"/>
        </w:rPr>
        <w:t>Sub-a</w:t>
      </w:r>
      <w:r w:rsidRPr="005A2CF7">
        <w:rPr>
          <w:rFonts w:eastAsia="Calibri" w:cstheme="minorHAnsi"/>
          <w:color w:val="000000"/>
          <w:lang w:val="en-GB"/>
        </w:rPr>
        <w:t xml:space="preserve">ccount is being opened (3 characters), </w:t>
      </w:r>
    </w:p>
    <w:p w14:paraId="4D6E5A89" w14:textId="7B6991C0" w:rsidR="00377968" w:rsidRPr="005A2CF7" w:rsidRDefault="00532569" w:rsidP="00D10EA0">
      <w:pPr>
        <w:spacing w:after="0" w:line="360" w:lineRule="auto"/>
        <w:jc w:val="both"/>
        <w:rPr>
          <w:rFonts w:eastAsia="Calibri" w:cstheme="minorHAnsi"/>
          <w:color w:val="000000"/>
          <w:lang w:val="en-GB"/>
        </w:rPr>
      </w:pPr>
      <w:r>
        <w:rPr>
          <w:rFonts w:eastAsia="Calibri" w:cstheme="minorHAnsi"/>
          <w:color w:val="000000"/>
          <w:lang w:val="en-GB"/>
        </w:rPr>
        <w:t>G</w:t>
      </w:r>
      <w:r w:rsidR="00377968" w:rsidRPr="005A2CF7">
        <w:rPr>
          <w:rFonts w:eastAsia="Calibri" w:cstheme="minorHAnsi"/>
          <w:color w:val="000000"/>
          <w:lang w:val="en-GB"/>
        </w:rPr>
        <w:t xml:space="preserve"> = the relevant field shall be specified by the letter </w:t>
      </w:r>
      <w:r>
        <w:rPr>
          <w:rFonts w:eastAsia="Calibri" w:cstheme="minorHAnsi"/>
          <w:color w:val="000000"/>
          <w:lang w:val="en-GB"/>
        </w:rPr>
        <w:t>G</w:t>
      </w:r>
      <w:r w:rsidRPr="005A2CF7">
        <w:rPr>
          <w:rFonts w:eastAsia="Calibri" w:cstheme="minorHAnsi"/>
          <w:color w:val="000000"/>
          <w:lang w:val="en-GB"/>
        </w:rPr>
        <w:t xml:space="preserve"> </w:t>
      </w:r>
      <w:r w:rsidR="00377968" w:rsidRPr="005A2CF7">
        <w:rPr>
          <w:rFonts w:eastAsia="Calibri" w:cstheme="minorHAnsi"/>
          <w:color w:val="000000"/>
          <w:lang w:val="en-GB"/>
        </w:rPr>
        <w:t xml:space="preserve">in the case of </w:t>
      </w:r>
      <w:r w:rsidR="00A1064B">
        <w:rPr>
          <w:rFonts w:eastAsia="Calibri" w:cstheme="minorHAnsi"/>
          <w:color w:val="000000"/>
          <w:lang w:val="en-GB"/>
        </w:rPr>
        <w:t>Sub-a</w:t>
      </w:r>
      <w:r w:rsidR="00377968" w:rsidRPr="005A2CF7">
        <w:rPr>
          <w:rFonts w:eastAsia="Calibri" w:cstheme="minorHAnsi"/>
          <w:color w:val="000000"/>
          <w:lang w:val="en-GB"/>
        </w:rPr>
        <w:t xml:space="preserve">ccount of </w:t>
      </w:r>
      <w:r>
        <w:rPr>
          <w:rFonts w:eastAsia="Calibri" w:cs="Arial"/>
          <w:color w:val="000000"/>
          <w:lang w:val="en-GB"/>
        </w:rPr>
        <w:t>Natural Gas</w:t>
      </w:r>
      <w:r w:rsidRPr="00584DA3">
        <w:rPr>
          <w:rFonts w:eastAsia="Calibri" w:cs="Arial"/>
          <w:color w:val="000000"/>
          <w:lang w:val="en-GB"/>
        </w:rPr>
        <w:t>.</w:t>
      </w:r>
      <w:r w:rsidR="00377968" w:rsidRPr="005A2CF7">
        <w:rPr>
          <w:rFonts w:eastAsia="Calibri" w:cstheme="minorHAnsi"/>
          <w:color w:val="000000"/>
          <w:lang w:val="en-GB"/>
        </w:rPr>
        <w:t xml:space="preserve">   </w:t>
      </w:r>
    </w:p>
    <w:p w14:paraId="535CA961" w14:textId="353F5287" w:rsidR="00377968" w:rsidRPr="005A2CF7"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A1064B">
        <w:rPr>
          <w:rFonts w:cstheme="minorHAnsi"/>
          <w:lang w:val="en-GB"/>
        </w:rPr>
        <w:t>Sub-a</w:t>
      </w:r>
      <w:r w:rsidRPr="005A2CF7">
        <w:rPr>
          <w:rFonts w:cstheme="minorHAnsi"/>
          <w:lang w:val="en-GB"/>
        </w:rPr>
        <w:t>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D3607C"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010C179B"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7467FE22"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2B5135E0"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Code </w:t>
            </w:r>
          </w:p>
        </w:tc>
        <w:tc>
          <w:tcPr>
            <w:tcW w:w="4995" w:type="dxa"/>
            <w:gridSpan w:val="2"/>
            <w:tcBorders>
              <w:top w:val="nil"/>
              <w:bottom w:val="nil"/>
            </w:tcBorders>
          </w:tcPr>
          <w:p w14:paraId="11A48F88" w14:textId="4537164D"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lastRenderedPageBreak/>
              <w:t xml:space="preserve">Clearing Member ’s BIC </w:t>
            </w:r>
          </w:p>
        </w:tc>
        <w:tc>
          <w:tcPr>
            <w:tcW w:w="4995" w:type="dxa"/>
            <w:gridSpan w:val="2"/>
            <w:tcBorders>
              <w:top w:val="nil"/>
              <w:bottom w:val="nil"/>
            </w:tcBorders>
          </w:tcPr>
          <w:p w14:paraId="6B22960B" w14:textId="3DB4A6D5"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3204F8CE" w:rsidR="007C4D54" w:rsidRPr="007C4D54" w:rsidRDefault="00A1064B" w:rsidP="007C4D54">
            <w:pPr>
              <w:spacing w:line="360" w:lineRule="auto"/>
              <w:jc w:val="both"/>
              <w:rPr>
                <w:rFonts w:cstheme="minorHAnsi"/>
                <w:color w:val="000000" w:themeColor="text1"/>
                <w:lang w:val="en-GB"/>
              </w:rPr>
            </w:pPr>
            <w:r>
              <w:rPr>
                <w:rFonts w:cstheme="minorHAnsi"/>
                <w:color w:val="000000" w:themeColor="text1"/>
                <w:lang w:val="en-GB"/>
              </w:rPr>
              <w:t>Sub-a</w:t>
            </w:r>
            <w:r w:rsidR="007C4D54" w:rsidRPr="007C4D54">
              <w:rPr>
                <w:rFonts w:cstheme="minorHAnsi"/>
                <w:color w:val="000000" w:themeColor="text1"/>
                <w:lang w:val="en-GB"/>
              </w:rPr>
              <w:t>ccount ΙΒΑΝ</w:t>
            </w:r>
          </w:p>
        </w:tc>
        <w:tc>
          <w:tcPr>
            <w:tcW w:w="3085" w:type="dxa"/>
            <w:tcBorders>
              <w:top w:val="nil"/>
              <w:bottom w:val="nil"/>
            </w:tcBorders>
          </w:tcPr>
          <w:p w14:paraId="29F9AC6B" w14:textId="6FD0DFC2"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3607C"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4AB3C41C"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Title of </w:t>
            </w:r>
            <w:r w:rsidR="00A1064B">
              <w:rPr>
                <w:rFonts w:cstheme="minorHAnsi"/>
                <w:color w:val="000000" w:themeColor="text1"/>
                <w:lang w:val="en-GB"/>
              </w:rPr>
              <w:t>Sub-a</w:t>
            </w:r>
            <w:r w:rsidRPr="007C4D54">
              <w:rPr>
                <w:rFonts w:cstheme="minorHAnsi"/>
                <w:color w:val="000000" w:themeColor="text1"/>
                <w:lang w:val="en-GB"/>
              </w:rPr>
              <w:t>ccount</w:t>
            </w:r>
          </w:p>
        </w:tc>
        <w:tc>
          <w:tcPr>
            <w:tcW w:w="3085" w:type="dxa"/>
            <w:tcBorders>
              <w:top w:val="nil"/>
              <w:bottom w:val="nil"/>
            </w:tcBorders>
          </w:tcPr>
          <w:p w14:paraId="58817CF5" w14:textId="668C3399" w:rsidR="007C4D54" w:rsidRPr="007C4D54" w:rsidRDefault="00D3607C"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2BCCE676"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Undertake the commitment to notify EnExClear of any change to the data of the </w:t>
      </w:r>
      <w:r w:rsidR="00A1064B">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042B692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A1064B">
        <w:rPr>
          <w:rFonts w:cstheme="minorHAnsi"/>
          <w:lang w:val="en-GB"/>
        </w:rPr>
        <w:t>TARGET</w:t>
      </w:r>
      <w:r w:rsidR="00141B38">
        <w:rPr>
          <w:rFonts w:cstheme="minorHAnsi"/>
          <w:lang w:val="en-GB"/>
        </w:rPr>
        <w:t>-GR Operating Regulation</w:t>
      </w:r>
      <w:r w:rsidRPr="005A2CF7">
        <w:rPr>
          <w:rFonts w:cstheme="minorHAnsi"/>
          <w:lang w:val="en-GB"/>
        </w:rPr>
        <w:t>.</w:t>
      </w:r>
    </w:p>
    <w:p w14:paraId="5D2F34EB" w14:textId="403DB1C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A1064B">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A1064B">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19D98944"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A1064B">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w:t>
      </w:r>
      <w:proofErr w:type="spellStart"/>
      <w:r w:rsidRPr="005A2CF7">
        <w:rPr>
          <w:rFonts w:cstheme="minorHAnsi"/>
          <w:lang w:val="en-GB"/>
        </w:rPr>
        <w:t>EnExClear’s</w:t>
      </w:r>
      <w:proofErr w:type="spellEnd"/>
      <w:r w:rsidRPr="005A2CF7">
        <w:rPr>
          <w:rFonts w:cstheme="minorHAnsi"/>
          <w:lang w:val="en-GB"/>
        </w:rPr>
        <w:t xml:space="preserve"> procedures, with regard to cash settlement.  </w:t>
      </w:r>
    </w:p>
    <w:p w14:paraId="71256084" w14:textId="466A46C2"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A1064B">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A1064B">
        <w:rPr>
          <w:rFonts w:cstheme="minorHAnsi"/>
          <w:lang w:val="en-GB"/>
        </w:rPr>
        <w:t>Sub-a</w:t>
      </w:r>
      <w:r w:rsidRPr="005A2CF7">
        <w:rPr>
          <w:rFonts w:cstheme="minorHAnsi"/>
          <w:lang w:val="en-GB"/>
        </w:rPr>
        <w:t xml:space="preserve">ccount has been opened for the Clearing Member in </w:t>
      </w:r>
      <w:r w:rsidR="00A1064B">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A1064B">
        <w:rPr>
          <w:rFonts w:cstheme="minorHAnsi"/>
          <w:lang w:val="en-GB"/>
        </w:rPr>
        <w:t>Sub-a</w:t>
      </w:r>
      <w:r w:rsidRPr="005A2CF7">
        <w:rPr>
          <w:rFonts w:cstheme="minorHAnsi"/>
          <w:lang w:val="en-GB"/>
        </w:rPr>
        <w:t xml:space="preserve">ccount prior to closure of the </w:t>
      </w:r>
      <w:r w:rsidR="00A1064B">
        <w:rPr>
          <w:rFonts w:cstheme="minorHAnsi"/>
          <w:lang w:val="en-GB"/>
        </w:rPr>
        <w:t>Sub-a</w:t>
      </w:r>
      <w:r w:rsidRPr="005A2CF7">
        <w:rPr>
          <w:rFonts w:cstheme="minorHAnsi"/>
          <w:lang w:val="en-GB"/>
        </w:rPr>
        <w:t xml:space="preserve">ccount in question. The Settlement Bank also acknowledges that it will not immediately close a </w:t>
      </w:r>
      <w:r w:rsidR="00A1064B">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A1064B">
        <w:rPr>
          <w:rFonts w:cstheme="minorHAnsi"/>
          <w:lang w:val="en-GB"/>
        </w:rPr>
        <w:t>Sub-a</w:t>
      </w:r>
      <w:r w:rsidRPr="005A2CF7">
        <w:rPr>
          <w:rFonts w:cstheme="minorHAnsi"/>
          <w:lang w:val="en-GB"/>
        </w:rPr>
        <w:t>ccount, the Settlement Bank declares that it will complete the standard form “</w:t>
      </w:r>
      <w:r w:rsidR="00A1064B">
        <w:rPr>
          <w:rFonts w:cstheme="minorHAnsi"/>
          <w:lang w:val="en-GB"/>
        </w:rPr>
        <w:t>TARGET</w:t>
      </w:r>
      <w:r w:rsidRPr="005A2CF7">
        <w:rPr>
          <w:rFonts w:cstheme="minorHAnsi"/>
          <w:lang w:val="en-GB"/>
        </w:rPr>
        <w:t xml:space="preserve"> </w:t>
      </w:r>
      <w:r w:rsidR="006B770E">
        <w:rPr>
          <w:rFonts w:cs="Arial"/>
          <w:lang w:val="en-GB"/>
        </w:rPr>
        <w:t>Registration Form”, section “Settlement Bank Account Group”</w:t>
      </w:r>
      <w:r w:rsidRPr="005A2CF7">
        <w:rPr>
          <w:rFonts w:cstheme="minorHAnsi"/>
          <w:lang w:val="en-GB"/>
        </w:rPr>
        <w:t xml:space="preserve"> and itself submit it to the </w:t>
      </w:r>
      <w:r w:rsidR="006B770E">
        <w:rPr>
          <w:rStyle w:val="rynqvb"/>
          <w:lang w:val="en"/>
        </w:rPr>
        <w:lastRenderedPageBreak/>
        <w:t>competent Central Bank of the Settlement Bank</w:t>
      </w:r>
      <w:r w:rsidR="006B770E" w:rsidRPr="00584DA3">
        <w:rPr>
          <w:rFonts w:cs="Arial"/>
          <w:lang w:val="en-GB"/>
        </w:rPr>
        <w:t xml:space="preserve">, </w:t>
      </w:r>
      <w:r w:rsidR="006B770E">
        <w:rPr>
          <w:rStyle w:val="rynqvb"/>
          <w:lang w:val="en"/>
        </w:rPr>
        <w:t xml:space="preserve">within the meaning of the TARGET-GR </w:t>
      </w:r>
      <w:r w:rsidR="006B770E">
        <w:rPr>
          <w:rStyle w:val="rynqvb"/>
          <w:lang w:val="en-US"/>
        </w:rPr>
        <w:t xml:space="preserve">Operating </w:t>
      </w:r>
      <w:r w:rsidR="006B770E">
        <w:rPr>
          <w:rStyle w:val="rynqvb"/>
          <w:lang w:val="en"/>
        </w:rPr>
        <w:t xml:space="preserve">Regulation, after EnExClear </w:t>
      </w:r>
      <w:r w:rsidR="006B770E">
        <w:rPr>
          <w:rFonts w:cs="Arial"/>
          <w:lang w:val="en-GB"/>
        </w:rPr>
        <w:t>signs it</w:t>
      </w:r>
      <w:r w:rsidR="006B770E" w:rsidRPr="00584DA3">
        <w:rPr>
          <w:rFonts w:cs="Arial"/>
          <w:lang w:val="en-GB"/>
        </w:rPr>
        <w:t>.</w:t>
      </w:r>
      <w:r w:rsidRPr="005A2CF7">
        <w:rPr>
          <w:rFonts w:cstheme="minorHAnsi"/>
          <w:lang w:val="en-GB"/>
        </w:rPr>
        <w:t xml:space="preserve"> </w:t>
      </w:r>
    </w:p>
    <w:p w14:paraId="41F48D08" w14:textId="1EFD8A16"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w:t>
      </w:r>
      <w:proofErr w:type="spellStart"/>
      <w:r w:rsidRPr="005A2CF7">
        <w:rPr>
          <w:rFonts w:cstheme="minorHAnsi"/>
          <w:lang w:val="en-GB"/>
        </w:rPr>
        <w:t>EnExClear’s</w:t>
      </w:r>
      <w:proofErr w:type="spellEnd"/>
      <w:r w:rsidRPr="005A2CF7">
        <w:rPr>
          <w:rFonts w:cstheme="minorHAnsi"/>
          <w:lang w:val="en-GB"/>
        </w:rPr>
        <w:t xml:space="preserve"> procedures, in the event of compulsory deletion of the Settlement Bank, by way of indication due to revocation of its operating licence or insolvency proceedings against it and therefore the cessation of its relevant services in accordance with </w:t>
      </w:r>
      <w:r w:rsidR="00A1064B">
        <w:rPr>
          <w:rFonts w:cstheme="minorHAnsi"/>
          <w:lang w:val="en-GB"/>
        </w:rPr>
        <w:t>TARGET</w:t>
      </w:r>
      <w:r w:rsidR="00141B38">
        <w:rPr>
          <w:rFonts w:cstheme="minorHAnsi"/>
          <w:lang w:val="en-GB"/>
        </w:rPr>
        <w:t>-GR Operating Regulation</w:t>
      </w:r>
      <w:r w:rsidRPr="005A2CF7">
        <w:rPr>
          <w:rFonts w:cstheme="minorHAnsi"/>
          <w:lang w:val="en-GB"/>
        </w:rPr>
        <w:t xml:space="preserve">, to temporarily and until the opening of a new </w:t>
      </w:r>
      <w:r w:rsidR="00A1064B">
        <w:rPr>
          <w:rFonts w:cstheme="minorHAnsi"/>
          <w:lang w:val="en-GB"/>
        </w:rPr>
        <w:t>Sub-a</w:t>
      </w:r>
      <w:r w:rsidRPr="005A2CF7">
        <w:rPr>
          <w:rFonts w:cstheme="minorHAnsi"/>
          <w:lang w:val="en-GB"/>
        </w:rPr>
        <w:t xml:space="preserve">ccount or </w:t>
      </w:r>
      <w:r w:rsidR="00A1064B">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6B770E">
        <w:rPr>
          <w:rFonts w:cstheme="minorHAnsi"/>
          <w:lang w:val="en-GB"/>
        </w:rPr>
        <w:t xml:space="preserve"> </w:t>
      </w:r>
      <w:r w:rsidR="006B770E">
        <w:rPr>
          <w:rStyle w:val="rynqvb"/>
          <w:lang w:val="en"/>
        </w:rPr>
        <w:t xml:space="preserve">in accordance with the terms and conditions of </w:t>
      </w:r>
      <w:proofErr w:type="spellStart"/>
      <w:r w:rsidR="006B770E">
        <w:rPr>
          <w:rStyle w:val="rynqvb"/>
          <w:lang w:val="en"/>
        </w:rPr>
        <w:t>EnExClear’s</w:t>
      </w:r>
      <w:proofErr w:type="spellEnd"/>
      <w:r w:rsidR="006B770E">
        <w:rPr>
          <w:rStyle w:val="rynqvb"/>
          <w:lang w:val="en"/>
        </w:rPr>
        <w:t xml:space="preserve">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w:t>
      </w:r>
      <w:proofErr w:type="spellStart"/>
      <w:r w:rsidRPr="005A2CF7">
        <w:rPr>
          <w:rFonts w:cstheme="minorHAnsi"/>
          <w:lang w:val="en-GB"/>
        </w:rPr>
        <w:t>EnExClear’s</w:t>
      </w:r>
      <w:proofErr w:type="spellEnd"/>
      <w:r w:rsidRPr="005A2CF7">
        <w:rPr>
          <w:rFonts w:cstheme="minorHAnsi"/>
          <w:lang w:val="en-GB"/>
        </w:rPr>
        <w:t xml:space="preserve">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D3607C" w14:paraId="1C30BF16" w14:textId="77777777" w:rsidTr="00AB1317">
        <w:trPr>
          <w:trHeight w:val="561"/>
          <w:jc w:val="center"/>
        </w:trPr>
        <w:tc>
          <w:tcPr>
            <w:tcW w:w="5004" w:type="dxa"/>
          </w:tcPr>
          <w:p w14:paraId="6D685C4A" w14:textId="77777777" w:rsidR="00AB1317" w:rsidRDefault="00D3607C"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F85EBC">
                  <w:rPr>
                    <w:rFonts w:eastAsia="Calibri" w:cstheme="minorHAnsi"/>
                    <w:color w:val="808080"/>
                    <w:sz w:val="20"/>
                    <w:lang w:val="en-US"/>
                  </w:rPr>
                  <w:t>Click or tap here to enter text.</w:t>
                </w:r>
              </w:sdtContent>
            </w:sdt>
          </w:p>
        </w:tc>
        <w:tc>
          <w:tcPr>
            <w:tcW w:w="5061" w:type="dxa"/>
          </w:tcPr>
          <w:p w14:paraId="57A97D17" w14:textId="77777777" w:rsidR="00AB1317" w:rsidRDefault="00D3607C"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F85EBC">
                  <w:rPr>
                    <w:rFonts w:eastAsia="Calibri" w:cstheme="minorHAnsi"/>
                    <w:color w:val="808080"/>
                    <w:sz w:val="20"/>
                    <w:lang w:val="en-US"/>
                  </w:rPr>
                  <w:t>Click or tap here to enter text.</w:t>
                </w:r>
              </w:sdtContent>
            </w:sdt>
          </w:p>
        </w:tc>
      </w:tr>
      <w:tr w:rsidR="00AB1317" w:rsidRPr="00D3607C"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 xml:space="preserve">(please insert the full name of the legal entity </w:t>
            </w:r>
          </w:p>
          <w:p w14:paraId="151F7FC5" w14:textId="0D6E8DF1" w:rsidR="00AB1317" w:rsidRPr="00743362"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743362">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743362"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743362">
              <w:rPr>
                <w:rFonts w:cstheme="minorHAnsi"/>
                <w:i/>
                <w:sz w:val="18"/>
                <w:szCs w:val="18"/>
                <w:lang w:val="en-GB"/>
              </w:rPr>
              <w:t>L</w:t>
            </w:r>
            <w:r w:rsidRPr="00D10EA0">
              <w:rPr>
                <w:rFonts w:cstheme="minorHAnsi"/>
                <w:i/>
                <w:sz w:val="18"/>
                <w:szCs w:val="18"/>
                <w:lang w:val="en-GB"/>
              </w:rPr>
              <w:t>egal</w:t>
            </w:r>
            <w:r w:rsidRPr="00743362">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9"/>
      <w:footerReference w:type="default" r:id="rId10"/>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85C3" w14:textId="77777777" w:rsidR="00382EDD" w:rsidRDefault="00382EDD" w:rsidP="00D86DD0">
      <w:pPr>
        <w:spacing w:after="0" w:line="240" w:lineRule="auto"/>
      </w:pPr>
      <w:r>
        <w:separator/>
      </w:r>
    </w:p>
  </w:endnote>
  <w:endnote w:type="continuationSeparator" w:id="0">
    <w:p w14:paraId="2DAB4FD1" w14:textId="77777777" w:rsidR="00382EDD" w:rsidRDefault="00382EDD"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3476BCFD" w14:textId="286B1E3D"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D3607C">
          <w:rPr>
            <w:noProof/>
            <w:lang w:val="en-US"/>
          </w:rPr>
          <w:t>5</w:t>
        </w:r>
        <w:r>
          <w:rPr>
            <w:noProof/>
          </w:rPr>
          <w:fldChar w:fldCharType="end"/>
        </w:r>
      </w:p>
      <w:p w14:paraId="58357032" w14:textId="023132CE" w:rsidR="003C69A7" w:rsidRDefault="00D3607C">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987C" w14:textId="77777777" w:rsidR="00382EDD" w:rsidRDefault="00382EDD" w:rsidP="00D86DD0">
      <w:pPr>
        <w:spacing w:after="0" w:line="240" w:lineRule="auto"/>
      </w:pPr>
      <w:r>
        <w:separator/>
      </w:r>
    </w:p>
  </w:footnote>
  <w:footnote w:type="continuationSeparator" w:id="0">
    <w:p w14:paraId="1F6CED23" w14:textId="77777777" w:rsidR="00382EDD" w:rsidRDefault="00382EDD" w:rsidP="00D86DD0">
      <w:pPr>
        <w:spacing w:after="0" w:line="240" w:lineRule="auto"/>
      </w:pPr>
      <w:r>
        <w:continuationSeparator/>
      </w:r>
    </w:p>
  </w:footnote>
  <w:footnote w:id="1">
    <w:p w14:paraId="14B157F6" w14:textId="77777777" w:rsidR="00D933F6" w:rsidRPr="00D933F6" w:rsidRDefault="00D933F6" w:rsidP="00D933F6">
      <w:pPr>
        <w:tabs>
          <w:tab w:val="left" w:pos="7353"/>
          <w:tab w:val="right" w:pos="9639"/>
        </w:tabs>
        <w:rPr>
          <w:rFonts w:ascii="Calibri" w:eastAsia="Calibri" w:hAnsi="Calibri" w:cs="Arial"/>
          <w:sz w:val="18"/>
          <w:szCs w:val="18"/>
          <w:lang w:val="it-IT"/>
        </w:rPr>
      </w:pPr>
      <w:r>
        <w:rPr>
          <w:rStyle w:val="FootnoteReference"/>
        </w:rPr>
        <w:footnoteRef/>
      </w:r>
      <w:r w:rsidRPr="00D933F6">
        <w:rPr>
          <w:lang w:val="en-US"/>
        </w:rPr>
        <w:t xml:space="preserve"> </w:t>
      </w:r>
      <w:r w:rsidRPr="00D933F6">
        <w:rPr>
          <w:rFonts w:ascii="Calibri" w:hAnsi="Calibri" w:cs="Arial"/>
          <w:sz w:val="18"/>
          <w:szCs w:val="18"/>
          <w:lang w:val="it-IT"/>
        </w:rPr>
        <w:t>Please send a scanned copy of this form and the original hard copy, signed accordingly, to:</w:t>
      </w:r>
      <w:r w:rsidRPr="00D933F6">
        <w:rPr>
          <w:rFonts w:ascii="Calibri" w:eastAsia="Calibri" w:hAnsi="Calibri" w:cs="Arial"/>
          <w:sz w:val="18"/>
          <w:szCs w:val="18"/>
          <w:lang w:val="it-IT"/>
        </w:rPr>
        <w:t xml:space="preserve"> </w:t>
      </w:r>
    </w:p>
    <w:p w14:paraId="72882492" w14:textId="77777777" w:rsidR="00D933F6" w:rsidRPr="00D933F6" w:rsidRDefault="00D933F6" w:rsidP="00D933F6">
      <w:pPr>
        <w:tabs>
          <w:tab w:val="left" w:pos="7353"/>
          <w:tab w:val="right" w:pos="9639"/>
        </w:tabs>
        <w:spacing w:after="0" w:line="240" w:lineRule="auto"/>
        <w:rPr>
          <w:rFonts w:ascii="Calibri" w:hAnsi="Calibri" w:cs="Arial"/>
          <w:b/>
          <w:bCs/>
          <w:sz w:val="18"/>
          <w:szCs w:val="18"/>
          <w:lang w:val="it-IT"/>
        </w:rPr>
      </w:pPr>
      <w:r w:rsidRPr="00D933F6">
        <w:rPr>
          <w:rFonts w:ascii="Calibri" w:eastAsia="Calibri" w:hAnsi="Calibri" w:cs="Arial"/>
          <w:sz w:val="18"/>
          <w:szCs w:val="18"/>
          <w:lang w:val="it-IT"/>
        </w:rPr>
        <w:t xml:space="preserve">  </w:t>
      </w:r>
      <w:r w:rsidRPr="00D933F6">
        <w:rPr>
          <w:rFonts w:ascii="Calibri" w:hAnsi="Calibri" w:cs="Arial"/>
          <w:b/>
          <w:bCs/>
          <w:sz w:val="18"/>
          <w:szCs w:val="18"/>
          <w:lang w:val="it-IT"/>
        </w:rPr>
        <w:t>EnEx Clearing House S.A. (EnExClear)</w:t>
      </w:r>
    </w:p>
    <w:p w14:paraId="6BEFFBAF" w14:textId="77777777" w:rsidR="00D933F6" w:rsidRPr="00D933F6" w:rsidRDefault="00D933F6" w:rsidP="00D933F6">
      <w:pPr>
        <w:tabs>
          <w:tab w:val="left" w:pos="7353"/>
          <w:tab w:val="right" w:pos="9639"/>
        </w:tabs>
        <w:spacing w:after="0" w:line="240" w:lineRule="auto"/>
        <w:rPr>
          <w:rFonts w:ascii="Calibri" w:eastAsia="Calibri" w:hAnsi="Calibri" w:cs="Arial"/>
          <w:b/>
          <w:sz w:val="18"/>
          <w:szCs w:val="18"/>
          <w:lang w:val="it-IT"/>
        </w:rPr>
      </w:pPr>
      <w:r w:rsidRPr="00D933F6">
        <w:rPr>
          <w:rFonts w:ascii="Calibri" w:hAnsi="Calibri" w:cs="Arial"/>
          <w:b/>
          <w:bCs/>
          <w:sz w:val="18"/>
          <w:szCs w:val="18"/>
          <w:lang w:val="en-GB"/>
        </w:rPr>
        <w:t xml:space="preserve">  </w:t>
      </w:r>
      <w:r w:rsidRPr="00D933F6">
        <w:rPr>
          <w:rFonts w:ascii="Calibri" w:eastAsia="Calibri" w:hAnsi="Calibri" w:cs="Arial"/>
          <w:b/>
          <w:sz w:val="18"/>
          <w:szCs w:val="18"/>
          <w:lang w:val="it-IT"/>
        </w:rPr>
        <w:t>EnEx Member Support</w:t>
      </w:r>
    </w:p>
    <w:p w14:paraId="70975225" w14:textId="77777777" w:rsidR="00D933F6" w:rsidRPr="00D933F6" w:rsidRDefault="00D933F6" w:rsidP="00D933F6">
      <w:pPr>
        <w:tabs>
          <w:tab w:val="left" w:pos="284"/>
        </w:tabs>
        <w:spacing w:after="0" w:line="240" w:lineRule="auto"/>
        <w:rPr>
          <w:rFonts w:ascii="Calibri" w:hAnsi="Calibri" w:cs="Arial"/>
          <w:sz w:val="18"/>
          <w:szCs w:val="18"/>
          <w:lang w:val="it-IT"/>
        </w:rPr>
      </w:pPr>
      <w:r w:rsidRPr="00D933F6">
        <w:rPr>
          <w:sz w:val="18"/>
          <w:szCs w:val="18"/>
          <w:lang w:val="en-GB"/>
        </w:rPr>
        <w:t xml:space="preserve">  </w:t>
      </w:r>
      <w:r w:rsidRPr="00D933F6">
        <w:rPr>
          <w:rFonts w:ascii="Calibri" w:hAnsi="Calibri" w:cs="Arial"/>
          <w:sz w:val="18"/>
          <w:szCs w:val="18"/>
          <w:lang w:val="it-IT"/>
        </w:rPr>
        <w:t>110, Athinon Ave. 104 42 Athens, Greece</w:t>
      </w:r>
    </w:p>
    <w:p w14:paraId="78375318" w14:textId="77777777" w:rsidR="00D933F6" w:rsidRPr="00D933F6" w:rsidRDefault="00D933F6" w:rsidP="00D933F6">
      <w:pPr>
        <w:tabs>
          <w:tab w:val="left" w:pos="284"/>
        </w:tabs>
        <w:spacing w:after="0" w:line="240" w:lineRule="auto"/>
        <w:rPr>
          <w:rFonts w:ascii="Calibri" w:hAnsi="Calibri" w:cs="Arial"/>
          <w:sz w:val="18"/>
          <w:szCs w:val="18"/>
          <w:lang w:val="it-IT"/>
        </w:rPr>
      </w:pPr>
      <w:r w:rsidRPr="00D933F6">
        <w:rPr>
          <w:rFonts w:ascii="Calibri" w:hAnsi="Calibri" w:cs="Arial"/>
          <w:sz w:val="18"/>
          <w:szCs w:val="18"/>
          <w:lang w:val="it-IT"/>
        </w:rPr>
        <w:t xml:space="preserve">  Tel: (+30) 210 33 66 845 </w:t>
      </w:r>
    </w:p>
    <w:p w14:paraId="7D7BB115" w14:textId="77777777" w:rsidR="00D933F6" w:rsidRPr="00C426E3" w:rsidRDefault="00D933F6" w:rsidP="00D933F6">
      <w:pPr>
        <w:tabs>
          <w:tab w:val="left" w:pos="284"/>
        </w:tabs>
        <w:spacing w:after="0" w:line="240" w:lineRule="auto"/>
        <w:rPr>
          <w:rFonts w:ascii="Calibri" w:hAnsi="Calibri"/>
          <w:sz w:val="18"/>
          <w:szCs w:val="18"/>
          <w:lang w:val="pt-PT"/>
        </w:rPr>
      </w:pPr>
      <w:r w:rsidRPr="00D933F6">
        <w:rPr>
          <w:rFonts w:ascii="Calibri" w:hAnsi="Calibri" w:cs="Arial"/>
          <w:sz w:val="18"/>
          <w:szCs w:val="18"/>
          <w:lang w:val="it-IT"/>
        </w:rPr>
        <w:t xml:space="preserve">  E-mail: </w:t>
      </w:r>
      <w:hyperlink r:id="rId1" w:history="1">
        <w:r w:rsidRPr="00C426E3">
          <w:rPr>
            <w:rStyle w:val="Hyperlink"/>
            <w:rFonts w:ascii="Calibri" w:hAnsi="Calibri"/>
            <w:sz w:val="18"/>
            <w:szCs w:val="18"/>
            <w:lang w:val="pt-PT"/>
          </w:rPr>
          <w:t>EnEx-Member-Support@enexgroup.gr</w:t>
        </w:r>
      </w:hyperlink>
      <w:r w:rsidRPr="00C426E3">
        <w:rPr>
          <w:rFonts w:ascii="Calibri" w:hAnsi="Calibri"/>
          <w:sz w:val="18"/>
          <w:szCs w:val="18"/>
          <w:lang w:val="pt-PT"/>
        </w:rPr>
        <w:t xml:space="preserve"> </w:t>
      </w:r>
    </w:p>
    <w:p w14:paraId="689504D8" w14:textId="0D456C17" w:rsidR="00D933F6" w:rsidRPr="00C426E3" w:rsidRDefault="00D933F6">
      <w:pPr>
        <w:pStyle w:val="FootnoteText"/>
        <w:rPr>
          <w:lang w:val="pt-P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57F1D8E7" w:rsidR="003F07DF" w:rsidRPr="00AB1317" w:rsidRDefault="005544D0" w:rsidP="003F07DF">
    <w:pPr>
      <w:spacing w:before="120"/>
      <w:jc w:val="right"/>
      <w:rPr>
        <w:rFonts w:ascii="Calibri" w:eastAsia="Calibri" w:hAnsi="Calibri" w:cs="Arial"/>
        <w:b/>
        <w:bCs/>
        <w:i/>
        <w:sz w:val="20"/>
      </w:rPr>
    </w:pPr>
    <w:r w:rsidRPr="000E4710">
      <w:rPr>
        <w:noProof/>
        <w:lang w:val="en-GB" w:eastAsia="en-GB"/>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w:t>
    </w:r>
    <w:r w:rsidR="00752F85">
      <w:rPr>
        <w:rFonts w:ascii="Calibri" w:eastAsia="Calibri" w:hAnsi="Calibri" w:cs="Arial"/>
        <w:b/>
        <w:bCs/>
        <w:i/>
        <w:sz w:val="20"/>
        <w:lang w:val="en-US"/>
      </w:rPr>
      <w:t>1</w:t>
    </w:r>
    <w:r w:rsidR="000E4710" w:rsidRPr="000E4710">
      <w:rPr>
        <w:rFonts w:ascii="Calibri" w:eastAsia="Calibri" w:hAnsi="Calibri" w:cs="Arial"/>
        <w:b/>
        <w:bCs/>
        <w:i/>
        <w:sz w:val="20"/>
        <w:lang w:val="en-US"/>
      </w:rPr>
      <w:t>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A1064B">
      <w:rPr>
        <w:rFonts w:ascii="Calibri" w:eastAsia="Calibri" w:hAnsi="Calibri" w:cs="Arial"/>
        <w:b/>
        <w:bCs/>
        <w:i/>
        <w:sz w:val="20"/>
        <w:lang w:val="en-US"/>
      </w:rPr>
      <w:t>2</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ocrc4wYigp51JOfML8gjmRBoyhyAMmi+XvzaouYNt+di3HyVv4wuHXFc5RmmCeA69OcGUkfl5s9SwRfI87EixQ==" w:salt="LDPO2IRC9IhE0kv+a7ReB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512C1"/>
    <w:rsid w:val="000727EC"/>
    <w:rsid w:val="000B39CD"/>
    <w:rsid w:val="000E4710"/>
    <w:rsid w:val="00127A40"/>
    <w:rsid w:val="00141B38"/>
    <w:rsid w:val="00143695"/>
    <w:rsid w:val="001D0D89"/>
    <w:rsid w:val="001D4367"/>
    <w:rsid w:val="00233ECD"/>
    <w:rsid w:val="003046D0"/>
    <w:rsid w:val="00377968"/>
    <w:rsid w:val="00382EDD"/>
    <w:rsid w:val="003C661D"/>
    <w:rsid w:val="003C69A7"/>
    <w:rsid w:val="003F07DF"/>
    <w:rsid w:val="003F6BCF"/>
    <w:rsid w:val="00412BFC"/>
    <w:rsid w:val="00414C2A"/>
    <w:rsid w:val="004348CB"/>
    <w:rsid w:val="004433EA"/>
    <w:rsid w:val="00477743"/>
    <w:rsid w:val="00494DAA"/>
    <w:rsid w:val="00532569"/>
    <w:rsid w:val="005475DA"/>
    <w:rsid w:val="005544D0"/>
    <w:rsid w:val="00554A22"/>
    <w:rsid w:val="005A2CF7"/>
    <w:rsid w:val="005B5945"/>
    <w:rsid w:val="005B79EC"/>
    <w:rsid w:val="005F07AB"/>
    <w:rsid w:val="00641245"/>
    <w:rsid w:val="006705C0"/>
    <w:rsid w:val="006B5301"/>
    <w:rsid w:val="006B770E"/>
    <w:rsid w:val="006C48E2"/>
    <w:rsid w:val="00743362"/>
    <w:rsid w:val="00752F85"/>
    <w:rsid w:val="00761A9A"/>
    <w:rsid w:val="00774852"/>
    <w:rsid w:val="007822E3"/>
    <w:rsid w:val="007B0934"/>
    <w:rsid w:val="007C4D54"/>
    <w:rsid w:val="007D11C9"/>
    <w:rsid w:val="00812DC8"/>
    <w:rsid w:val="00830E56"/>
    <w:rsid w:val="008C26CF"/>
    <w:rsid w:val="009E74DF"/>
    <w:rsid w:val="009F505D"/>
    <w:rsid w:val="00A00804"/>
    <w:rsid w:val="00A1064B"/>
    <w:rsid w:val="00A20F33"/>
    <w:rsid w:val="00AB1317"/>
    <w:rsid w:val="00AC6886"/>
    <w:rsid w:val="00AD4D9A"/>
    <w:rsid w:val="00B03B84"/>
    <w:rsid w:val="00B1703D"/>
    <w:rsid w:val="00B26BF3"/>
    <w:rsid w:val="00BA7AA3"/>
    <w:rsid w:val="00BD7B5E"/>
    <w:rsid w:val="00C128FA"/>
    <w:rsid w:val="00C4132E"/>
    <w:rsid w:val="00C426E3"/>
    <w:rsid w:val="00CD2D00"/>
    <w:rsid w:val="00D0714E"/>
    <w:rsid w:val="00D10EA0"/>
    <w:rsid w:val="00D2568D"/>
    <w:rsid w:val="00D3607C"/>
    <w:rsid w:val="00D46AEF"/>
    <w:rsid w:val="00D86DD0"/>
    <w:rsid w:val="00D933F6"/>
    <w:rsid w:val="00DA22C5"/>
    <w:rsid w:val="00F31FFB"/>
    <w:rsid w:val="00FA7AEB"/>
    <w:rsid w:val="00FB757C"/>
    <w:rsid w:val="00FE0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paragraph" w:styleId="FootnoteText">
    <w:name w:val="footnote text"/>
    <w:basedOn w:val="Normal"/>
    <w:link w:val="FootnoteTextChar"/>
    <w:uiPriority w:val="99"/>
    <w:semiHidden/>
    <w:unhideWhenUsed/>
    <w:rsid w:val="00D93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3F6"/>
    <w:rPr>
      <w:rFonts w:eastAsiaTheme="minorEastAsia"/>
      <w:sz w:val="20"/>
      <w:szCs w:val="20"/>
      <w:lang w:val="el-GR" w:eastAsia="el-GR"/>
    </w:rPr>
  </w:style>
  <w:style w:type="character" w:styleId="FootnoteReference">
    <w:name w:val="footnote reference"/>
    <w:basedOn w:val="DefaultParagraphFont"/>
    <w:uiPriority w:val="99"/>
    <w:semiHidden/>
    <w:unhideWhenUsed/>
    <w:rsid w:val="00D933F6"/>
    <w:rPr>
      <w:vertAlign w:val="superscript"/>
    </w:rPr>
  </w:style>
  <w:style w:type="character" w:customStyle="1" w:styleId="rynqvb">
    <w:name w:val="rynqvb"/>
    <w:basedOn w:val="DefaultParagraphFont"/>
    <w:rsid w:val="00A1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5B"/>
    <w:rsid w:val="00186CD1"/>
    <w:rsid w:val="00214CB9"/>
    <w:rsid w:val="002E359D"/>
    <w:rsid w:val="00334768"/>
    <w:rsid w:val="004E50AB"/>
    <w:rsid w:val="00544F14"/>
    <w:rsid w:val="00640F5A"/>
    <w:rsid w:val="00856177"/>
    <w:rsid w:val="008B0B5B"/>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8411-3C95-4EC5-89E6-2345CE0A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2023-02-07T17:24:00Z</dcterms:created>
  <dcterms:modified xsi:type="dcterms:W3CDTF">2023-02-07T17:25:00Z</dcterms:modified>
</cp:coreProperties>
</file>