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7CC23" w14:textId="24346B2F" w:rsidR="009A16DA" w:rsidRPr="00714A71" w:rsidRDefault="00682F6E" w:rsidP="009A16DA">
      <w:pPr>
        <w:spacing w:before="120" w:after="120" w:line="360" w:lineRule="auto"/>
        <w:jc w:val="center"/>
        <w:rPr>
          <w:rFonts w:eastAsia="Calibri" w:cstheme="minorHAnsi"/>
          <w:b/>
          <w:bCs/>
          <w:color w:val="0067A6"/>
          <w:sz w:val="28"/>
          <w:szCs w:val="28"/>
          <w:lang w:eastAsia="en-US"/>
        </w:rPr>
      </w:pPr>
      <w:r w:rsidRPr="00714A71">
        <w:rPr>
          <w:rFonts w:eastAsia="Calibri" w:cstheme="minorHAnsi"/>
          <w:b/>
          <w:bCs/>
          <w:color w:val="0067A6"/>
          <w:sz w:val="28"/>
          <w:szCs w:val="28"/>
          <w:lang w:eastAsia="en-US"/>
        </w:rPr>
        <w:t xml:space="preserve"> </w:t>
      </w:r>
      <w:r w:rsidR="00144F96">
        <w:rPr>
          <w:rFonts w:eastAsia="Calibri" w:cstheme="minorHAnsi"/>
          <w:b/>
          <w:bCs/>
          <w:color w:val="0067A6"/>
          <w:sz w:val="28"/>
          <w:szCs w:val="28"/>
          <w:lang w:eastAsia="en-US"/>
        </w:rPr>
        <w:t>«Δήλωση</w:t>
      </w:r>
      <w:r w:rsidR="00144F96" w:rsidRPr="00144F96">
        <w:rPr>
          <w:rFonts w:eastAsia="Calibri" w:cstheme="minorHAnsi"/>
          <w:b/>
          <w:bCs/>
          <w:color w:val="0067A6"/>
          <w:sz w:val="28"/>
          <w:szCs w:val="28"/>
          <w:lang w:eastAsia="en-US"/>
        </w:rPr>
        <w:t xml:space="preserve"> &amp; </w:t>
      </w:r>
      <w:r w:rsidR="00144F96">
        <w:rPr>
          <w:rFonts w:eastAsia="Calibri" w:cstheme="minorHAnsi"/>
          <w:b/>
          <w:bCs/>
          <w:color w:val="0067A6"/>
          <w:sz w:val="28"/>
          <w:szCs w:val="28"/>
          <w:lang w:eastAsia="en-US"/>
        </w:rPr>
        <w:t>Ειδικοί Όροι Παροχής Υπηρεσιών Τράπεζας Διακανονισμού</w:t>
      </w:r>
      <w:r w:rsidR="00144F96" w:rsidRPr="00144F96">
        <w:rPr>
          <w:rFonts w:eastAsia="Calibri" w:cstheme="minorHAnsi"/>
          <w:b/>
          <w:bCs/>
          <w:color w:val="0067A6"/>
          <w:sz w:val="28"/>
          <w:szCs w:val="28"/>
          <w:lang w:eastAsia="en-US"/>
        </w:rPr>
        <w:t xml:space="preserve"> </w:t>
      </w:r>
      <w:r w:rsidR="00144F96">
        <w:rPr>
          <w:rFonts w:eastAsia="Calibri" w:cstheme="minorHAnsi"/>
          <w:b/>
          <w:bCs/>
          <w:color w:val="0067A6"/>
          <w:sz w:val="28"/>
          <w:szCs w:val="28"/>
          <w:lang w:eastAsia="en-US"/>
        </w:rPr>
        <w:t xml:space="preserve">στο Επικουρικό Σύστημα της </w:t>
      </w:r>
      <w:r w:rsidR="00144F96" w:rsidRPr="00144F96">
        <w:rPr>
          <w:rFonts w:eastAsia="Calibri" w:cstheme="minorHAnsi"/>
          <w:b/>
          <w:bCs/>
          <w:color w:val="0067A6"/>
          <w:sz w:val="28"/>
          <w:szCs w:val="28"/>
          <w:lang w:eastAsia="en-US"/>
        </w:rPr>
        <w:t xml:space="preserve">EnExClear </w:t>
      </w:r>
      <w:r w:rsidR="00144F96">
        <w:rPr>
          <w:rFonts w:eastAsia="Calibri" w:cstheme="minorHAnsi"/>
          <w:b/>
          <w:bCs/>
          <w:color w:val="0067A6"/>
          <w:sz w:val="28"/>
          <w:szCs w:val="28"/>
          <w:lang w:eastAsia="en-US"/>
        </w:rPr>
        <w:t>βάσει του</w:t>
      </w:r>
      <w:r w:rsidR="00144F96" w:rsidRPr="00144F96">
        <w:rPr>
          <w:rFonts w:eastAsia="Calibri" w:cstheme="minorHAnsi"/>
          <w:b/>
          <w:bCs/>
          <w:color w:val="0067A6"/>
          <w:sz w:val="28"/>
          <w:szCs w:val="28"/>
          <w:lang w:eastAsia="en-US"/>
        </w:rPr>
        <w:t xml:space="preserve"> TARGET2-GR</w:t>
      </w:r>
      <w:r w:rsidR="00144F96">
        <w:rPr>
          <w:rFonts w:eastAsia="Calibri" w:cstheme="minorHAnsi"/>
          <w:b/>
          <w:bCs/>
          <w:color w:val="0067A6"/>
          <w:sz w:val="28"/>
          <w:szCs w:val="28"/>
          <w:lang w:eastAsia="en-US"/>
        </w:rPr>
        <w:t>»</w:t>
      </w:r>
    </w:p>
    <w:p w14:paraId="2E04B16B" w14:textId="1702DAE4" w:rsidR="00714A71" w:rsidRPr="00FF2644" w:rsidRDefault="008521AD" w:rsidP="00714A71">
      <w:pPr>
        <w:spacing w:before="120" w:after="120" w:line="360" w:lineRule="auto"/>
        <w:ind w:left="5040"/>
        <w:jc w:val="right"/>
        <w:rPr>
          <w:rFonts w:cstheme="minorHAnsi"/>
          <w:sz w:val="20"/>
          <w:szCs w:val="20"/>
          <w:lang w:val="en-US"/>
        </w:rPr>
      </w:pPr>
      <w:r>
        <w:rPr>
          <w:rFonts w:cstheme="minorHAnsi"/>
          <w:sz w:val="20"/>
          <w:szCs w:val="20"/>
        </w:rPr>
        <w:t>Α</w:t>
      </w:r>
      <w:r w:rsidR="00714A71">
        <w:rPr>
          <w:rFonts w:cstheme="minorHAnsi"/>
          <w:sz w:val="20"/>
          <w:szCs w:val="20"/>
        </w:rPr>
        <w:t>θήνα</w:t>
      </w:r>
      <w:r w:rsidR="00714A71" w:rsidRPr="00FF2644">
        <w:rPr>
          <w:rFonts w:cstheme="minorHAnsi"/>
          <w:sz w:val="20"/>
          <w:szCs w:val="20"/>
          <w:lang w:val="en-US"/>
        </w:rPr>
        <w:t>,</w:t>
      </w:r>
      <w:r w:rsidR="009A16DA" w:rsidRPr="00FF2644">
        <w:rPr>
          <w:rFonts w:cstheme="minorHAnsi"/>
          <w:sz w:val="20"/>
          <w:szCs w:val="20"/>
          <w:lang w:val="en-US"/>
        </w:rPr>
        <w:t xml:space="preserve"> </w:t>
      </w:r>
      <w:sdt>
        <w:sdtPr>
          <w:rPr>
            <w:rFonts w:cstheme="minorHAnsi"/>
            <w:sz w:val="20"/>
            <w:szCs w:val="20"/>
            <w:lang w:val="en-GB"/>
          </w:rPr>
          <w:id w:val="1661337521"/>
          <w:placeholder>
            <w:docPart w:val="DefaultPlaceholder_-1854013437"/>
          </w:placeholder>
          <w:showingPlcHdr/>
          <w:date>
            <w:dateFormat w:val="dd/MM/yyyy"/>
            <w:lid w:val="en-US"/>
            <w:storeMappedDataAs w:val="dateTime"/>
            <w:calendar w:val="gregorian"/>
          </w:date>
        </w:sdtPr>
        <w:sdtEndPr/>
        <w:sdtContent>
          <w:r w:rsidR="00B45281" w:rsidRPr="00B45281">
            <w:rPr>
              <w:rStyle w:val="PlaceholderText"/>
              <w:lang w:val="en-US"/>
            </w:rPr>
            <w:t>Click or tap to enter a date.</w:t>
          </w:r>
        </w:sdtContent>
      </w:sdt>
      <w:r w:rsidR="00714A71" w:rsidRPr="00FF2644">
        <w:rPr>
          <w:b/>
          <w:lang w:val="en-US"/>
        </w:rPr>
        <w:tab/>
      </w:r>
    </w:p>
    <w:p w14:paraId="728D3236" w14:textId="0E66C9DF" w:rsidR="00714A71" w:rsidRDefault="00714A71" w:rsidP="00A275FD">
      <w:pPr>
        <w:spacing w:line="360" w:lineRule="auto"/>
        <w:jc w:val="both"/>
        <w:rPr>
          <w:rFonts w:ascii="Calibri" w:hAnsi="Calibri" w:cs="Calibri"/>
        </w:rPr>
      </w:pPr>
      <w:r>
        <w:rPr>
          <w:rFonts w:ascii="Calibri" w:hAnsi="Calibri" w:cs="Calibri"/>
        </w:rPr>
        <w:t>Το</w:t>
      </w:r>
      <w:r w:rsidRPr="00B45281">
        <w:rPr>
          <w:rFonts w:ascii="Calibri" w:hAnsi="Calibri" w:cs="Calibri"/>
          <w:lang w:val="en-US"/>
        </w:rPr>
        <w:t xml:space="preserve"> </w:t>
      </w:r>
      <w:r>
        <w:rPr>
          <w:rFonts w:ascii="Calibri" w:hAnsi="Calibri" w:cs="Calibri"/>
        </w:rPr>
        <w:t>νομικό</w:t>
      </w:r>
      <w:r w:rsidRPr="00B45281">
        <w:rPr>
          <w:rFonts w:ascii="Calibri" w:hAnsi="Calibri" w:cs="Calibri"/>
          <w:lang w:val="en-US"/>
        </w:rPr>
        <w:t xml:space="preserve"> </w:t>
      </w:r>
      <w:r>
        <w:rPr>
          <w:rFonts w:ascii="Calibri" w:hAnsi="Calibri" w:cs="Calibri"/>
        </w:rPr>
        <w:t>πρόσωπο</w:t>
      </w:r>
      <w:r w:rsidRPr="00B45281">
        <w:rPr>
          <w:rFonts w:ascii="Calibri" w:hAnsi="Calibri" w:cs="Calibri"/>
          <w:lang w:val="en-US"/>
        </w:rPr>
        <w:t xml:space="preserve"> </w:t>
      </w:r>
      <w:r>
        <w:rPr>
          <w:rFonts w:ascii="Calibri" w:hAnsi="Calibri" w:cs="Calibri"/>
        </w:rPr>
        <w:t>με</w:t>
      </w:r>
      <w:r w:rsidRPr="00B45281">
        <w:rPr>
          <w:rFonts w:ascii="Calibri" w:hAnsi="Calibri" w:cs="Calibri"/>
          <w:lang w:val="en-US"/>
        </w:rPr>
        <w:t xml:space="preserve"> </w:t>
      </w:r>
      <w:r>
        <w:rPr>
          <w:rFonts w:ascii="Calibri" w:hAnsi="Calibri" w:cs="Calibri"/>
        </w:rPr>
        <w:t>την</w:t>
      </w:r>
      <w:r w:rsidRPr="00B45281">
        <w:rPr>
          <w:rFonts w:ascii="Calibri" w:hAnsi="Calibri" w:cs="Calibri"/>
          <w:lang w:val="en-US"/>
        </w:rPr>
        <w:t xml:space="preserve"> </w:t>
      </w:r>
      <w:r>
        <w:rPr>
          <w:rFonts w:ascii="Calibri" w:hAnsi="Calibri" w:cs="Calibri"/>
        </w:rPr>
        <w:t>επωνυμία</w:t>
      </w:r>
      <w:r w:rsidR="00B45281" w:rsidRPr="00B45281">
        <w:rPr>
          <w:rFonts w:ascii="Calibri" w:hAnsi="Calibri" w:cs="Calibri"/>
          <w:lang w:val="en-US"/>
        </w:rPr>
        <w:t xml:space="preserve"> </w:t>
      </w:r>
      <w:sdt>
        <w:sdtPr>
          <w:rPr>
            <w:rFonts w:cstheme="minorHAnsi"/>
            <w:b/>
            <w:bCs/>
            <w:color w:val="000000"/>
            <w:sz w:val="20"/>
            <w:lang w:val="en-GB"/>
          </w:rPr>
          <w:id w:val="336047658"/>
          <w:placeholder>
            <w:docPart w:val="A31396AF9A504EC0A664E67EEDBDD140"/>
          </w:placeholder>
          <w:showingPlcHdr/>
        </w:sdtPr>
        <w:sdtEndPr/>
        <w:sdtContent>
          <w:r w:rsidR="00B45281">
            <w:rPr>
              <w:rFonts w:eastAsia="Calibri" w:cstheme="minorHAnsi"/>
              <w:color w:val="808080"/>
              <w:sz w:val="20"/>
              <w:lang w:val="en-US"/>
            </w:rPr>
            <w:t>Click or tap here to enter text.</w:t>
          </w:r>
        </w:sdtContent>
      </w:sdt>
      <w:r w:rsidRPr="00B45281">
        <w:rPr>
          <w:rFonts w:ascii="Calibri" w:hAnsi="Calibri" w:cs="Calibri"/>
          <w:lang w:val="en-US"/>
        </w:rPr>
        <w:t xml:space="preserve"> </w:t>
      </w:r>
      <w:r>
        <w:rPr>
          <w:rFonts w:ascii="Calibri" w:hAnsi="Calibri" w:cs="Calibri"/>
        </w:rPr>
        <w:t>που</w:t>
      </w:r>
      <w:r w:rsidRPr="00B45281">
        <w:rPr>
          <w:rFonts w:ascii="Calibri" w:hAnsi="Calibri" w:cs="Calibri"/>
          <w:lang w:val="en-US"/>
        </w:rPr>
        <w:t xml:space="preserve"> </w:t>
      </w:r>
      <w:r>
        <w:rPr>
          <w:rFonts w:ascii="Calibri" w:hAnsi="Calibri" w:cs="Calibri"/>
        </w:rPr>
        <w:t>εδρεύει</w:t>
      </w:r>
      <w:r w:rsidRPr="00B45281">
        <w:rPr>
          <w:rFonts w:ascii="Calibri" w:hAnsi="Calibri" w:cs="Calibri"/>
          <w:lang w:val="en-US"/>
        </w:rPr>
        <w:t xml:space="preserve"> </w:t>
      </w:r>
      <w:sdt>
        <w:sdtPr>
          <w:rPr>
            <w:rFonts w:cstheme="minorHAnsi"/>
            <w:b/>
            <w:bCs/>
            <w:color w:val="000000"/>
            <w:sz w:val="20"/>
            <w:lang w:val="en-GB"/>
          </w:rPr>
          <w:id w:val="1250537923"/>
          <w:placeholder>
            <w:docPart w:val="89849B24DA114C219482F594B1609CAB"/>
          </w:placeholder>
          <w:showingPlcHdr/>
        </w:sdtPr>
        <w:sdtEndPr/>
        <w:sdtContent>
          <w:r w:rsidR="00B45281">
            <w:rPr>
              <w:rFonts w:eastAsia="Calibri" w:cstheme="minorHAnsi"/>
              <w:color w:val="808080"/>
              <w:sz w:val="20"/>
              <w:lang w:val="en-US"/>
            </w:rPr>
            <w:t>Click or tap here to enter text.</w:t>
          </w:r>
        </w:sdtContent>
      </w:sdt>
      <w:r w:rsidR="00B45281" w:rsidRPr="00B45281">
        <w:rPr>
          <w:rFonts w:cstheme="minorHAnsi"/>
          <w:b/>
          <w:bCs/>
          <w:color w:val="000000"/>
          <w:sz w:val="20"/>
          <w:lang w:val="en-US"/>
        </w:rPr>
        <w:t xml:space="preserve"> </w:t>
      </w:r>
      <w:r>
        <w:rPr>
          <w:rFonts w:ascii="Calibri" w:hAnsi="Calibri" w:cs="Calibri"/>
        </w:rPr>
        <w:t>με</w:t>
      </w:r>
      <w:r w:rsidRPr="00FF2644">
        <w:rPr>
          <w:rFonts w:ascii="Calibri" w:hAnsi="Calibri" w:cs="Calibri"/>
        </w:rPr>
        <w:t xml:space="preserve"> </w:t>
      </w:r>
      <w:r>
        <w:rPr>
          <w:rFonts w:ascii="Calibri" w:hAnsi="Calibri" w:cs="Calibri"/>
        </w:rPr>
        <w:t>ΑΦΜ</w:t>
      </w:r>
      <w:r w:rsidR="00B45281" w:rsidRPr="00FF2644">
        <w:rPr>
          <w:rFonts w:ascii="Calibri" w:hAnsi="Calibri" w:cs="Calibri"/>
        </w:rPr>
        <w:t xml:space="preserve"> </w:t>
      </w:r>
      <w:sdt>
        <w:sdtPr>
          <w:rPr>
            <w:rFonts w:cstheme="minorHAnsi"/>
            <w:b/>
            <w:bCs/>
            <w:color w:val="000000"/>
            <w:sz w:val="20"/>
            <w:lang w:val="en-GB"/>
          </w:rPr>
          <w:id w:val="396715511"/>
          <w:placeholder>
            <w:docPart w:val="CE8994D51B4A472396158265782DC542"/>
          </w:placeholder>
          <w:showingPlcHdr/>
        </w:sdtPr>
        <w:sdtEndPr/>
        <w:sdtContent>
          <w:r w:rsidR="00B45281">
            <w:rPr>
              <w:rFonts w:eastAsia="Calibri" w:cstheme="minorHAnsi"/>
              <w:color w:val="808080"/>
              <w:sz w:val="20"/>
              <w:lang w:val="en-US"/>
            </w:rPr>
            <w:t>Click or tap here to enter text.</w:t>
          </w:r>
        </w:sdtContent>
      </w:sdt>
      <w:r w:rsidRPr="00FF2644">
        <w:rPr>
          <w:rFonts w:ascii="Calibri" w:hAnsi="Calibri" w:cs="Calibri"/>
        </w:rPr>
        <w:t xml:space="preserve"> </w:t>
      </w:r>
      <w:r>
        <w:rPr>
          <w:rFonts w:ascii="Calibri" w:hAnsi="Calibri" w:cs="Calibri"/>
        </w:rPr>
        <w:t>και εκπροσωπείται νόμιμα για την υπογραφή της παρούσας από</w:t>
      </w:r>
      <w:r w:rsidR="00B45281" w:rsidRPr="00B45281">
        <w:rPr>
          <w:rFonts w:ascii="Calibri" w:hAnsi="Calibri" w:cs="Calibri"/>
        </w:rPr>
        <w:t xml:space="preserve"> </w:t>
      </w:r>
      <w:sdt>
        <w:sdtPr>
          <w:rPr>
            <w:rFonts w:cstheme="minorHAnsi"/>
            <w:b/>
            <w:bCs/>
            <w:color w:val="000000"/>
            <w:sz w:val="20"/>
            <w:lang w:val="en-GB"/>
          </w:rPr>
          <w:id w:val="1771884845"/>
          <w:placeholder>
            <w:docPart w:val="795F2218DCE74904ABAC2E074364FB2D"/>
          </w:placeholder>
          <w:showingPlcHdr/>
        </w:sdtPr>
        <w:sdtEndPr/>
        <w:sdtContent>
          <w:r w:rsidR="00B45281">
            <w:rPr>
              <w:rFonts w:eastAsia="Calibri" w:cstheme="minorHAnsi"/>
              <w:color w:val="808080"/>
              <w:sz w:val="20"/>
              <w:lang w:val="en-US"/>
            </w:rPr>
            <w:t>Click or tap here to enter text.</w:t>
          </w:r>
        </w:sdtContent>
      </w:sdt>
      <w:r>
        <w:rPr>
          <w:rFonts w:ascii="Calibri" w:hAnsi="Calibri" w:cs="Calibri"/>
        </w:rPr>
        <w:t xml:space="preserve">, το οποίο έχει την ιδιότητα του Συμμετέχοντος στο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και θα ενεργεί ως Τράπεζα Διακανονισμού ως ορίζεται ειδικότερα κατά τα αναφερόμενα κατωτέρω (εφεξής η Τράπεζα Διακανονισμού), </w:t>
      </w:r>
    </w:p>
    <w:p w14:paraId="2DCC2652" w14:textId="77777777" w:rsidR="00714A71" w:rsidRDefault="00714A71" w:rsidP="00A275FD">
      <w:pPr>
        <w:jc w:val="both"/>
        <w:rPr>
          <w:rFonts w:ascii="Calibri" w:hAnsi="Calibri" w:cs="Calibri"/>
        </w:rPr>
      </w:pPr>
      <w:r>
        <w:rPr>
          <w:rFonts w:ascii="Calibri" w:hAnsi="Calibri" w:cs="Calibri"/>
          <w:b/>
        </w:rPr>
        <w:t xml:space="preserve">Λαμβάνοντας υπόψη: </w:t>
      </w:r>
    </w:p>
    <w:p w14:paraId="0BE6F66D" w14:textId="77777777" w:rsidR="00714A71" w:rsidRDefault="00714A71" w:rsidP="00A275FD">
      <w:pPr>
        <w:numPr>
          <w:ilvl w:val="0"/>
          <w:numId w:val="4"/>
        </w:numPr>
        <w:snapToGrid w:val="0"/>
        <w:spacing w:before="240" w:after="0" w:line="360" w:lineRule="auto"/>
        <w:jc w:val="both"/>
        <w:rPr>
          <w:rFonts w:ascii="Calibri" w:hAnsi="Calibri" w:cs="Calibri"/>
        </w:rPr>
      </w:pPr>
      <w:r>
        <w:rPr>
          <w:rFonts w:ascii="Calibri" w:hAnsi="Calibri" w:cs="Calibri"/>
        </w:rPr>
        <w:t>Την Κατευθυντήρια Γραμμή ΕΚΤ/2012/27, σχετικά με το Διευρωπαϊκό Αυτοματοποιημένο Σύστημα Ταχείας Μεταφοράς Κεφαλαίων και Διακανονισμού σε Συνεχή Χρόνο (TARGET 2), όπως εκάστοτε ισχύει.</w:t>
      </w:r>
    </w:p>
    <w:p w14:paraId="368876E2" w14:textId="77777777" w:rsidR="00714A71" w:rsidRDefault="00714A71" w:rsidP="00A275FD">
      <w:pPr>
        <w:numPr>
          <w:ilvl w:val="0"/>
          <w:numId w:val="4"/>
        </w:numPr>
        <w:tabs>
          <w:tab w:val="num" w:pos="0"/>
        </w:tabs>
        <w:snapToGrid w:val="0"/>
        <w:spacing w:before="240" w:after="0" w:line="360" w:lineRule="auto"/>
        <w:jc w:val="both"/>
        <w:rPr>
          <w:rFonts w:ascii="Calibri" w:hAnsi="Calibri" w:cs="Calibri"/>
        </w:rPr>
      </w:pPr>
      <w:r>
        <w:rPr>
          <w:rFonts w:ascii="Calibri" w:hAnsi="Calibri" w:cs="Calibri"/>
        </w:rPr>
        <w:t xml:space="preserve">Τον από 22/06/2015 Κανονισμό Λειτουργίας του Συστήματος Ταχείας Μεταφοράς Κεφαλαίων και Διακανονισμού σε Συνεχή Χρόνο </w:t>
      </w:r>
      <w:r>
        <w:rPr>
          <w:rFonts w:ascii="Calibri" w:hAnsi="Calibri" w:cs="Calibri"/>
          <w:u w:val="single"/>
          <w:lang w:val="en-US"/>
        </w:rPr>
        <w:t>TARGET</w:t>
      </w:r>
      <w:r>
        <w:rPr>
          <w:rFonts w:ascii="Calibri" w:hAnsi="Calibri" w:cs="Calibri"/>
          <w:u w:val="single"/>
        </w:rPr>
        <w:t>2-</w:t>
      </w:r>
      <w:r>
        <w:rPr>
          <w:rFonts w:ascii="Calibri" w:hAnsi="Calibri" w:cs="Calibri"/>
          <w:u w:val="single"/>
          <w:lang w:val="en-US"/>
        </w:rPr>
        <w:t>GR</w:t>
      </w:r>
      <w:r w:rsidRPr="00714A71">
        <w:rPr>
          <w:rFonts w:ascii="Calibri" w:hAnsi="Calibri" w:cs="Calibri"/>
          <w:u w:val="single"/>
        </w:rPr>
        <w:t xml:space="preserve"> </w:t>
      </w:r>
      <w:r>
        <w:rPr>
          <w:rFonts w:ascii="Calibri" w:hAnsi="Calibri" w:cs="Calibri"/>
        </w:rPr>
        <w:t xml:space="preserve">(εφεξής ο «Κανονισμός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όπως ισχύει.</w:t>
      </w:r>
    </w:p>
    <w:p w14:paraId="2C459A4A" w14:textId="1EB88E2C" w:rsidR="00714A71" w:rsidRDefault="00714A71" w:rsidP="00A275FD">
      <w:pPr>
        <w:numPr>
          <w:ilvl w:val="0"/>
          <w:numId w:val="4"/>
        </w:numPr>
        <w:tabs>
          <w:tab w:val="num" w:pos="0"/>
        </w:tabs>
        <w:snapToGrid w:val="0"/>
        <w:spacing w:before="240" w:after="0" w:line="360" w:lineRule="auto"/>
        <w:jc w:val="both"/>
        <w:rPr>
          <w:rFonts w:ascii="Calibri" w:hAnsi="Calibri" w:cs="Calibri"/>
        </w:rPr>
      </w:pPr>
      <w:r>
        <w:rPr>
          <w:rFonts w:ascii="Calibri" w:hAnsi="Calibri" w:cs="Calibri"/>
        </w:rPr>
        <w:t xml:space="preserve">Το γεγονός ότι η </w:t>
      </w:r>
      <w:r>
        <w:rPr>
          <w:rFonts w:ascii="Calibri" w:hAnsi="Calibri" w:cs="Calibri"/>
          <w:lang w:val="x-none"/>
        </w:rPr>
        <w:t>EnExClear</w:t>
      </w:r>
      <w:r>
        <w:rPr>
          <w:rFonts w:ascii="Calibri" w:hAnsi="Calibri" w:cs="Calibri"/>
        </w:rPr>
        <w:t>, ενεργώντας ως Φορέας Εκκαθάρισης σύμφωνα με τ</w:t>
      </w:r>
      <w:r w:rsidR="0047108E">
        <w:rPr>
          <w:rFonts w:ascii="Calibri" w:hAnsi="Calibri" w:cs="Calibri"/>
        </w:rPr>
        <w:t>ο</w:t>
      </w:r>
      <w:r>
        <w:rPr>
          <w:rFonts w:ascii="Calibri" w:hAnsi="Calibri" w:cs="Calibri"/>
        </w:rPr>
        <w:t xml:space="preserve"> </w:t>
      </w:r>
      <w:r w:rsidR="0047108E">
        <w:rPr>
          <w:rFonts w:ascii="Calibri" w:hAnsi="Calibri" w:cs="Calibri"/>
        </w:rPr>
        <w:t>άρθρο</w:t>
      </w:r>
      <w:r>
        <w:rPr>
          <w:rFonts w:ascii="Calibri" w:hAnsi="Calibri" w:cs="Calibri"/>
        </w:rPr>
        <w:t xml:space="preserve"> 1</w:t>
      </w:r>
      <w:r w:rsidR="0047108E" w:rsidRPr="00C559C0">
        <w:rPr>
          <w:rFonts w:ascii="Calibri" w:hAnsi="Calibri" w:cs="Calibri"/>
        </w:rPr>
        <w:t xml:space="preserve">3, </w:t>
      </w:r>
      <w:r w:rsidR="0047108E">
        <w:rPr>
          <w:rFonts w:ascii="Calibri" w:hAnsi="Calibri" w:cs="Calibri"/>
        </w:rPr>
        <w:t>παρ. 2</w:t>
      </w:r>
      <w:r w:rsidR="0047108E" w:rsidRPr="00C559C0">
        <w:rPr>
          <w:rFonts w:ascii="Calibri" w:hAnsi="Calibri" w:cs="Calibri"/>
        </w:rPr>
        <w:t xml:space="preserve"> </w:t>
      </w:r>
      <w:r w:rsidR="0047108E">
        <w:rPr>
          <w:rFonts w:ascii="Calibri" w:hAnsi="Calibri" w:cs="Calibri"/>
        </w:rPr>
        <w:t>και άρθρο 19, παρ. 1</w:t>
      </w:r>
      <w:r>
        <w:rPr>
          <w:rFonts w:ascii="Calibri" w:hAnsi="Calibri" w:cs="Calibri"/>
        </w:rPr>
        <w:t xml:space="preserve"> του ν. 4425/2016, διενεργεί το χρηματικό διακανονισμό των συναλλαγών που διενεργούνται </w:t>
      </w:r>
      <w:r w:rsidR="00D3065A" w:rsidRPr="00C7088A">
        <w:rPr>
          <w:rFonts w:ascii="Calibri" w:hAnsi="Calibri" w:cs="Calibri"/>
        </w:rPr>
        <w:t>στ</w:t>
      </w:r>
      <w:r w:rsidR="00D3065A">
        <w:rPr>
          <w:rFonts w:ascii="Calibri" w:hAnsi="Calibri" w:cs="Calibri"/>
        </w:rPr>
        <w:t xml:space="preserve">ο Βάθρο Εμπορίας Φυσικού Αερίου </w:t>
      </w:r>
      <w:r>
        <w:rPr>
          <w:rFonts w:ascii="Calibri" w:hAnsi="Calibri" w:cs="Calibri"/>
        </w:rPr>
        <w:t xml:space="preserve"> του ΕΧΕ παρέχοντας σχετικές υπηρεσίες προς τα Εκκαθαριστικά Μέλη του Συστήματος Εκκαθάρισης της </w:t>
      </w:r>
      <w:r>
        <w:rPr>
          <w:rFonts w:ascii="Calibri" w:hAnsi="Calibri" w:cs="Calibri"/>
          <w:lang w:val="x-none"/>
        </w:rPr>
        <w:t>EnExClear</w:t>
      </w:r>
      <w:r>
        <w:rPr>
          <w:rFonts w:ascii="Calibri" w:hAnsi="Calibri" w:cs="Calibri"/>
        </w:rPr>
        <w:t xml:space="preserve">. </w:t>
      </w:r>
    </w:p>
    <w:p w14:paraId="053CC8BA" w14:textId="77777777" w:rsidR="00714A71" w:rsidRDefault="00714A71" w:rsidP="00A275FD">
      <w:pPr>
        <w:numPr>
          <w:ilvl w:val="0"/>
          <w:numId w:val="4"/>
        </w:numPr>
        <w:tabs>
          <w:tab w:val="num" w:pos="0"/>
        </w:tabs>
        <w:snapToGrid w:val="0"/>
        <w:spacing w:before="240" w:after="0" w:line="360" w:lineRule="auto"/>
        <w:jc w:val="both"/>
        <w:rPr>
          <w:rFonts w:ascii="Calibri" w:hAnsi="Calibri" w:cs="Calibri"/>
        </w:rPr>
      </w:pPr>
      <w:r>
        <w:rPr>
          <w:rFonts w:ascii="Calibri" w:hAnsi="Calibri" w:cs="Calibri"/>
        </w:rPr>
        <w:t xml:space="preserve">Ότι ο χρηματικός διακανονισμός των συναλλαγών αυτών διενεργείται μέσω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(ως συνιστώσα του </w:t>
      </w:r>
      <w:r>
        <w:rPr>
          <w:rFonts w:ascii="Calibri" w:hAnsi="Calibri" w:cs="Calibri"/>
          <w:lang w:val="en-US"/>
        </w:rPr>
        <w:t>TARGET</w:t>
      </w:r>
      <w:r>
        <w:rPr>
          <w:rFonts w:ascii="Calibri" w:hAnsi="Calibri" w:cs="Calibri"/>
        </w:rPr>
        <w:t xml:space="preserve">2), το οποίο τελεί υπό τη διαχείριση της Τράπεζας της Ελλάδος, σύμφωνα με τα προβλεπόμενα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καθώς και ότι το οικείο Σύστημα Εκκαθάρισης της </w:t>
      </w:r>
      <w:r>
        <w:rPr>
          <w:rFonts w:ascii="Calibri" w:hAnsi="Calibri" w:cs="Calibri"/>
          <w:lang w:val="x-none"/>
        </w:rPr>
        <w:t>EnExClear</w:t>
      </w:r>
      <w:r>
        <w:rPr>
          <w:rFonts w:ascii="Calibri" w:hAnsi="Calibri" w:cs="Calibri"/>
        </w:rPr>
        <w:t xml:space="preserve">, το οποίο νοείται ως «επικουρικό σύστημα» κατά την έννοια του Κανονισμού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(εφεξής το «Επικουρικό Σύστημα </w:t>
      </w:r>
      <w:r>
        <w:rPr>
          <w:rFonts w:ascii="Calibri" w:hAnsi="Calibri" w:cs="Calibri"/>
          <w:lang w:val="x-none"/>
        </w:rPr>
        <w:t>EnExClear</w:t>
      </w:r>
      <w:r>
        <w:rPr>
          <w:rFonts w:ascii="Calibri" w:hAnsi="Calibri" w:cs="Calibri"/>
        </w:rPr>
        <w:t xml:space="preserve">»), έχει συνδεθεί με 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w:t>
      </w:r>
    </w:p>
    <w:p w14:paraId="07ED31C2" w14:textId="77777777" w:rsidR="00714A71" w:rsidRDefault="00714A71" w:rsidP="00A275FD">
      <w:pPr>
        <w:numPr>
          <w:ilvl w:val="0"/>
          <w:numId w:val="4"/>
        </w:numPr>
        <w:tabs>
          <w:tab w:val="num" w:pos="0"/>
        </w:tabs>
        <w:snapToGrid w:val="0"/>
        <w:spacing w:before="240" w:after="0" w:line="360" w:lineRule="auto"/>
        <w:jc w:val="both"/>
        <w:rPr>
          <w:rFonts w:ascii="Calibri" w:hAnsi="Calibri" w:cs="Calibri"/>
        </w:rPr>
      </w:pPr>
      <w:r>
        <w:rPr>
          <w:rFonts w:ascii="Calibri" w:hAnsi="Calibri" w:cs="Calibri"/>
        </w:rPr>
        <w:t xml:space="preserve">Τους όρους λειτουργίας των τραπεζών διακανονισμού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οι οποίες δύνανται να παρέχουν υπηρεσίες χρηματικού διακανονισμού, μέσω του </w:t>
      </w:r>
      <w:r>
        <w:rPr>
          <w:rFonts w:ascii="Calibri" w:hAnsi="Calibri" w:cs="Calibri"/>
          <w:lang w:val="en-US"/>
        </w:rPr>
        <w:lastRenderedPageBreak/>
        <w:t>TARGET</w:t>
      </w:r>
      <w:r>
        <w:rPr>
          <w:rFonts w:ascii="Calibri" w:hAnsi="Calibri" w:cs="Calibri"/>
        </w:rPr>
        <w:t>2-</w:t>
      </w:r>
      <w:r>
        <w:rPr>
          <w:rFonts w:ascii="Calibri" w:hAnsi="Calibri" w:cs="Calibri"/>
          <w:lang w:val="en-US"/>
        </w:rPr>
        <w:t>GR</w:t>
      </w:r>
      <w:r>
        <w:rPr>
          <w:rFonts w:ascii="Calibri" w:hAnsi="Calibri" w:cs="Calibri"/>
        </w:rPr>
        <w:t xml:space="preserve"> στην Τράπεζα της Ελλάδος, σε επικουρικά συστήματα και συμμετέχοντες σε αυτά (Τράπεζες Διακανονισμού).</w:t>
      </w:r>
    </w:p>
    <w:p w14:paraId="319A9D12" w14:textId="4FB410F2" w:rsidR="00714A71" w:rsidRDefault="00714A71" w:rsidP="00A275FD">
      <w:pPr>
        <w:numPr>
          <w:ilvl w:val="0"/>
          <w:numId w:val="4"/>
        </w:numPr>
        <w:tabs>
          <w:tab w:val="num" w:pos="0"/>
        </w:tabs>
        <w:snapToGrid w:val="0"/>
        <w:spacing w:before="240" w:after="0" w:line="360" w:lineRule="auto"/>
        <w:jc w:val="both"/>
        <w:rPr>
          <w:rFonts w:ascii="Calibri" w:hAnsi="Calibri" w:cs="Calibri"/>
        </w:rPr>
      </w:pPr>
      <w:r>
        <w:rPr>
          <w:rFonts w:ascii="Calibri" w:hAnsi="Calibri" w:cs="Calibri"/>
        </w:rPr>
        <w:t>Την</w:t>
      </w:r>
      <w:r w:rsidRPr="00B45281">
        <w:rPr>
          <w:rFonts w:ascii="Calibri" w:hAnsi="Calibri" w:cs="Calibri"/>
          <w:lang w:val="en-US"/>
        </w:rPr>
        <w:t xml:space="preserve"> </w:t>
      </w:r>
      <w:r>
        <w:rPr>
          <w:rFonts w:ascii="Calibri" w:hAnsi="Calibri" w:cs="Calibri"/>
        </w:rPr>
        <w:t>από</w:t>
      </w:r>
      <w:r w:rsidRPr="00B45281">
        <w:rPr>
          <w:rFonts w:ascii="Calibri" w:hAnsi="Calibri" w:cs="Calibri"/>
          <w:lang w:val="en-US"/>
        </w:rPr>
        <w:t xml:space="preserve"> </w:t>
      </w:r>
      <w:sdt>
        <w:sdtPr>
          <w:rPr>
            <w:rFonts w:ascii="Calibri" w:hAnsi="Calibri" w:cs="Calibri"/>
            <w:lang w:val="en-US"/>
          </w:rPr>
          <w:id w:val="1079257747"/>
          <w:placeholder>
            <w:docPart w:val="DefaultPlaceholder_-1854013437"/>
          </w:placeholder>
          <w:showingPlcHdr/>
          <w:date>
            <w:dateFormat w:val="dd/MM/yyyy"/>
            <w:lid w:val="en-US"/>
            <w:storeMappedDataAs w:val="dateTime"/>
            <w:calendar w:val="gregorian"/>
          </w:date>
        </w:sdtPr>
        <w:sdtEndPr/>
        <w:sdtContent>
          <w:r w:rsidR="00FF2644" w:rsidRPr="00FF2644">
            <w:rPr>
              <w:rStyle w:val="PlaceholderText"/>
              <w:lang w:val="en-US"/>
            </w:rPr>
            <w:t>Click or tap to enter a date.</w:t>
          </w:r>
        </w:sdtContent>
      </w:sdt>
      <w:r w:rsidR="00B45281">
        <w:rPr>
          <w:rFonts w:cstheme="minorHAnsi"/>
          <w:b/>
          <w:bCs/>
          <w:color w:val="000000"/>
          <w:sz w:val="20"/>
          <w:lang w:val="en-GB"/>
        </w:rPr>
        <w:t xml:space="preserve"> </w:t>
      </w:r>
      <w:r>
        <w:rPr>
          <w:rFonts w:ascii="Calibri" w:hAnsi="Calibri" w:cs="Calibri"/>
        </w:rPr>
        <w:t>δήλωση «</w:t>
      </w:r>
      <w:r>
        <w:rPr>
          <w:rFonts w:ascii="Calibri" w:hAnsi="Calibri" w:cs="Calibri"/>
          <w:lang w:val="en-US"/>
        </w:rPr>
        <w:t>TARGET</w:t>
      </w:r>
      <w:r>
        <w:rPr>
          <w:rFonts w:ascii="Calibri" w:hAnsi="Calibri" w:cs="Calibri"/>
        </w:rPr>
        <w:t xml:space="preserve">2 </w:t>
      </w:r>
      <w:r>
        <w:rPr>
          <w:rFonts w:ascii="Calibri" w:hAnsi="Calibri" w:cs="Calibri"/>
          <w:lang w:val="en-US"/>
        </w:rPr>
        <w:t>form</w:t>
      </w:r>
      <w:r w:rsidRPr="00714A71">
        <w:rPr>
          <w:rFonts w:ascii="Calibri" w:hAnsi="Calibri" w:cs="Calibri"/>
        </w:rPr>
        <w:t xml:space="preserve"> </w:t>
      </w:r>
      <w:r>
        <w:rPr>
          <w:rFonts w:ascii="Calibri" w:hAnsi="Calibri" w:cs="Calibri"/>
          <w:lang w:val="en-US"/>
        </w:rPr>
        <w:t>of</w:t>
      </w:r>
      <w:r w:rsidRPr="00714A71">
        <w:rPr>
          <w:rFonts w:ascii="Calibri" w:hAnsi="Calibri" w:cs="Calibri"/>
        </w:rPr>
        <w:t xml:space="preserve"> </w:t>
      </w:r>
      <w:r>
        <w:rPr>
          <w:rFonts w:ascii="Calibri" w:hAnsi="Calibri" w:cs="Calibri"/>
          <w:lang w:val="en-US"/>
        </w:rPr>
        <w:t>collection</w:t>
      </w:r>
      <w:r w:rsidRPr="00714A71">
        <w:rPr>
          <w:rFonts w:ascii="Calibri" w:hAnsi="Calibri" w:cs="Calibri"/>
        </w:rPr>
        <w:t xml:space="preserve"> </w:t>
      </w:r>
      <w:r>
        <w:rPr>
          <w:rFonts w:ascii="Calibri" w:hAnsi="Calibri" w:cs="Calibri"/>
          <w:lang w:val="en-US"/>
        </w:rPr>
        <w:t>of</w:t>
      </w:r>
      <w:r w:rsidRPr="00714A71">
        <w:rPr>
          <w:rFonts w:ascii="Calibri" w:hAnsi="Calibri" w:cs="Calibri"/>
        </w:rPr>
        <w:t xml:space="preserve"> </w:t>
      </w:r>
      <w:r>
        <w:rPr>
          <w:rFonts w:ascii="Calibri" w:hAnsi="Calibri" w:cs="Calibri"/>
          <w:lang w:val="en-US"/>
        </w:rPr>
        <w:t>Static</w:t>
      </w:r>
      <w:r w:rsidRPr="00714A71">
        <w:rPr>
          <w:rFonts w:ascii="Calibri" w:hAnsi="Calibri" w:cs="Calibri"/>
        </w:rPr>
        <w:t xml:space="preserve"> </w:t>
      </w:r>
      <w:r>
        <w:rPr>
          <w:rFonts w:ascii="Calibri" w:hAnsi="Calibri" w:cs="Calibri"/>
          <w:lang w:val="en-US"/>
        </w:rPr>
        <w:t>Data</w:t>
      </w:r>
      <w:r>
        <w:rPr>
          <w:rFonts w:ascii="Calibri" w:hAnsi="Calibri" w:cs="Calibri"/>
        </w:rPr>
        <w:t xml:space="preserve"> - </w:t>
      </w:r>
      <w:r>
        <w:rPr>
          <w:rFonts w:ascii="Calibri" w:hAnsi="Calibri" w:cs="Calibri"/>
          <w:lang w:val="en-US"/>
        </w:rPr>
        <w:t>Debit</w:t>
      </w:r>
      <w:r w:rsidRPr="00714A71">
        <w:rPr>
          <w:rFonts w:ascii="Calibri" w:hAnsi="Calibri" w:cs="Calibri"/>
        </w:rPr>
        <w:t xml:space="preserve"> </w:t>
      </w:r>
      <w:r>
        <w:rPr>
          <w:rFonts w:ascii="Calibri" w:hAnsi="Calibri" w:cs="Calibri"/>
          <w:lang w:val="en-US"/>
        </w:rPr>
        <w:t>mandate</w:t>
      </w:r>
      <w:r w:rsidRPr="00714A71">
        <w:rPr>
          <w:rFonts w:ascii="Calibri" w:hAnsi="Calibri" w:cs="Calibri"/>
        </w:rPr>
        <w:t xml:space="preserve"> </w:t>
      </w:r>
      <w:r>
        <w:rPr>
          <w:rFonts w:ascii="Calibri" w:hAnsi="Calibri" w:cs="Calibri"/>
          <w:lang w:val="en-US"/>
        </w:rPr>
        <w:t>for</w:t>
      </w:r>
      <w:r w:rsidRPr="00714A71">
        <w:rPr>
          <w:rFonts w:ascii="Calibri" w:hAnsi="Calibri" w:cs="Calibri"/>
        </w:rPr>
        <w:t xml:space="preserve"> </w:t>
      </w:r>
      <w:r>
        <w:rPr>
          <w:rFonts w:ascii="Calibri" w:hAnsi="Calibri" w:cs="Calibri"/>
          <w:lang w:val="en-US"/>
        </w:rPr>
        <w:t>AS</w:t>
      </w:r>
      <w:r w:rsidRPr="00714A71">
        <w:rPr>
          <w:rFonts w:ascii="Calibri" w:hAnsi="Calibri" w:cs="Calibri"/>
        </w:rPr>
        <w:t xml:space="preserve"> </w:t>
      </w:r>
      <w:r>
        <w:rPr>
          <w:rFonts w:ascii="Calibri" w:hAnsi="Calibri" w:cs="Calibri"/>
          <w:lang w:val="en-US"/>
        </w:rPr>
        <w:t>settlement</w:t>
      </w:r>
      <w:r>
        <w:rPr>
          <w:rFonts w:ascii="Calibri" w:hAnsi="Calibri" w:cs="Calibri"/>
        </w:rPr>
        <w:t xml:space="preserve"> -» (Έντυπο 2002), όπως υπεγράφη από την Τράπεζα Διακανονισμού και την </w:t>
      </w:r>
      <w:r>
        <w:rPr>
          <w:rFonts w:ascii="Calibri" w:hAnsi="Calibri" w:cs="Calibri"/>
          <w:lang w:val="x-none"/>
        </w:rPr>
        <w:t xml:space="preserve">EnExClear </w:t>
      </w:r>
      <w:r>
        <w:rPr>
          <w:rFonts w:ascii="Calibri" w:hAnsi="Calibri" w:cs="Calibri"/>
        </w:rPr>
        <w:t xml:space="preserve">και διαβιβάσθηκε στην Τράπεζα της Ελλάδος βάσει της οποίας η Τράπεζα Διακανονισμού και η </w:t>
      </w:r>
      <w:r>
        <w:rPr>
          <w:rFonts w:ascii="Calibri" w:hAnsi="Calibri" w:cs="Calibri"/>
          <w:lang w:val="x-none"/>
        </w:rPr>
        <w:t>EnExClear</w:t>
      </w:r>
      <w:r>
        <w:rPr>
          <w:rFonts w:ascii="Calibri" w:hAnsi="Calibri" w:cs="Calibri"/>
        </w:rPr>
        <w:t xml:space="preserve"> επιβεβαιώνουν ότι η Τράπεζα Διακανονισμού θα ενεργεί ως τέτοια και θα παρέχει σχετικές υπηρεσίες στο Επικουρικό Σύστημα </w:t>
      </w:r>
      <w:r>
        <w:rPr>
          <w:rFonts w:ascii="Calibri" w:hAnsi="Calibri" w:cs="Calibri"/>
          <w:lang w:val="x-none"/>
        </w:rPr>
        <w:t>EnExClear</w:t>
      </w:r>
      <w:r>
        <w:rPr>
          <w:rFonts w:ascii="Calibri" w:hAnsi="Calibri" w:cs="Calibri"/>
        </w:rPr>
        <w:t xml:space="preserve">. </w:t>
      </w:r>
    </w:p>
    <w:p w14:paraId="13887ADB" w14:textId="77777777" w:rsidR="00714A71" w:rsidRDefault="00714A71" w:rsidP="00A275FD">
      <w:pPr>
        <w:spacing w:line="360" w:lineRule="auto"/>
        <w:jc w:val="both"/>
        <w:rPr>
          <w:rFonts w:ascii="Calibri" w:hAnsi="Calibri" w:cs="Calibri"/>
          <w:b/>
        </w:rPr>
      </w:pPr>
      <w:r>
        <w:rPr>
          <w:rFonts w:ascii="Calibri" w:hAnsi="Calibri" w:cs="Calibri"/>
          <w:b/>
        </w:rPr>
        <w:t xml:space="preserve">Δηλώνω με την παρούσα </w:t>
      </w:r>
    </w:p>
    <w:p w14:paraId="75DDE9B0" w14:textId="77777777" w:rsidR="00714A71" w:rsidRDefault="00714A71" w:rsidP="00A275FD">
      <w:pPr>
        <w:spacing w:line="360" w:lineRule="auto"/>
        <w:jc w:val="both"/>
        <w:rPr>
          <w:rFonts w:ascii="Calibri" w:hAnsi="Calibri" w:cs="Calibri"/>
        </w:rPr>
      </w:pPr>
      <w:r>
        <w:rPr>
          <w:rFonts w:ascii="Calibri" w:hAnsi="Calibri" w:cs="Calibri"/>
        </w:rPr>
        <w:t xml:space="preserve">Ότι θα ενεργώ ως Τράπεζα Διακανονισμού κατά την έννοια του Κανονισμού TARGET2-GR για το Επικουρικό Σύστημα </w:t>
      </w:r>
      <w:r>
        <w:rPr>
          <w:rFonts w:ascii="Calibri" w:hAnsi="Calibri" w:cs="Calibri"/>
          <w:lang w:val="x-none"/>
        </w:rPr>
        <w:t>EnExClear</w:t>
      </w:r>
      <w:r>
        <w:rPr>
          <w:rFonts w:ascii="Calibri" w:hAnsi="Calibri" w:cs="Calibri"/>
        </w:rPr>
        <w:t xml:space="preserve"> και ότι θα παρέχω κάθε σχετική υπηρεσία στην </w:t>
      </w:r>
      <w:r>
        <w:rPr>
          <w:rFonts w:ascii="Calibri" w:hAnsi="Calibri" w:cs="Calibri"/>
          <w:lang w:val="x-none"/>
        </w:rPr>
        <w:t>EnExClear</w:t>
      </w:r>
      <w:r>
        <w:rPr>
          <w:rFonts w:ascii="Calibri" w:hAnsi="Calibri" w:cs="Calibri"/>
        </w:rPr>
        <w:t xml:space="preserve"> και τα Εκκαθαριστικά Μέλη της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αλλά και τα σχετικώς ειδικότερα προβλεπόμενα στις διαδικασίες της </w:t>
      </w:r>
      <w:r>
        <w:rPr>
          <w:rFonts w:ascii="Calibri" w:hAnsi="Calibri" w:cs="Calibri"/>
          <w:lang w:val="x-none"/>
        </w:rPr>
        <w:t>EnExClear</w:t>
      </w:r>
      <w:r>
        <w:rPr>
          <w:rFonts w:ascii="Calibri" w:hAnsi="Calibri" w:cs="Calibri"/>
        </w:rPr>
        <w:t xml:space="preserve">. Προς τούτο δηλώνω υπεύθυνα ότι θα προβώ στην υπογραφή όλων των απαραίτητων εγγράφων που θα μου υποδειχθούν από την Τράπεζα της Ελλάδος και την </w:t>
      </w:r>
      <w:r>
        <w:rPr>
          <w:rFonts w:ascii="Calibri" w:hAnsi="Calibri" w:cs="Calibri"/>
          <w:lang w:val="x-none"/>
        </w:rPr>
        <w:t>EnExClear</w:t>
      </w:r>
      <w:r>
        <w:rPr>
          <w:rFonts w:ascii="Calibri" w:hAnsi="Calibri" w:cs="Calibri"/>
        </w:rPr>
        <w:t xml:space="preserve"> και ότι θα διενεργήσω κάθε σχετική πράξη που ήθελε υποδειχθεί από τους εν λόγω φορείς, αποδεχόμενη ανεπιφύλακτα όλες τις πάσης φύσεως υποχρεώσεις μου που απορρέουν από την ιδιότητα αυτή ως και τις ειδικότερες υποχρεώσεις μου που προκύπτουν από τους Ειδικούς Όρους Παροχής Υπηρεσιών Τράπεζας Διακανονισμού στο Επικουρικό Σύστημα της </w:t>
      </w:r>
      <w:r>
        <w:rPr>
          <w:rFonts w:ascii="Calibri" w:hAnsi="Calibri" w:cs="Calibri"/>
          <w:lang w:val="x-none"/>
        </w:rPr>
        <w:t>EnExClear</w:t>
      </w:r>
      <w:r>
        <w:rPr>
          <w:rFonts w:ascii="Calibri" w:hAnsi="Calibri" w:cs="Calibri"/>
        </w:rPr>
        <w:t xml:space="preserve"> βάσει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στους οποίους προσχωρώ με την παρούσα, όπως αυτοί ορίζονται από την </w:t>
      </w:r>
      <w:r>
        <w:rPr>
          <w:rFonts w:ascii="Calibri" w:hAnsi="Calibri" w:cs="Calibri"/>
          <w:lang w:val="x-none"/>
        </w:rPr>
        <w:t xml:space="preserve">EnExClear </w:t>
      </w:r>
      <w:r>
        <w:rPr>
          <w:rFonts w:ascii="Calibri" w:hAnsi="Calibri" w:cs="Calibri"/>
        </w:rPr>
        <w:t xml:space="preserve">παρακάτω και έχουν ως εξής: </w:t>
      </w:r>
    </w:p>
    <w:p w14:paraId="07F806CB" w14:textId="77777777" w:rsidR="00714A71" w:rsidRDefault="00714A71" w:rsidP="00A275FD">
      <w:pPr>
        <w:spacing w:line="360" w:lineRule="auto"/>
        <w:jc w:val="both"/>
        <w:rPr>
          <w:rFonts w:ascii="Calibri" w:hAnsi="Calibri" w:cs="Calibri"/>
        </w:rPr>
      </w:pPr>
      <w:r>
        <w:rPr>
          <w:rFonts w:ascii="Calibri" w:hAnsi="Calibri" w:cs="Calibri"/>
          <w:b/>
        </w:rPr>
        <w:t xml:space="preserve">Ειδικοί Όροι Παροχής Υπηρεσιών Τράπεζας Διακανονισμού στο Επικουρικό Σύστημα EnExClear βάσει του TARGET2-GR (Ειδικοί Όροι) </w:t>
      </w:r>
    </w:p>
    <w:p w14:paraId="51295922" w14:textId="7D174875" w:rsidR="00714A71" w:rsidRDefault="00714A71" w:rsidP="00A275FD">
      <w:pPr>
        <w:numPr>
          <w:ilvl w:val="0"/>
          <w:numId w:val="5"/>
        </w:numPr>
        <w:snapToGrid w:val="0"/>
        <w:spacing w:before="240" w:after="0" w:line="360" w:lineRule="auto"/>
        <w:jc w:val="both"/>
        <w:rPr>
          <w:rFonts w:ascii="Calibri" w:hAnsi="Calibri" w:cs="Calibri"/>
        </w:rPr>
      </w:pPr>
      <w:r>
        <w:rPr>
          <w:rFonts w:ascii="Calibri" w:hAnsi="Calibri" w:cs="Calibri"/>
        </w:rPr>
        <w:t xml:space="preserve">Για την εξυπηρέτηση του χρηματικού διακανονισμού των συναλλαγών </w:t>
      </w:r>
      <w:r w:rsidR="00D3065A" w:rsidRPr="00C7088A">
        <w:rPr>
          <w:rFonts w:ascii="Calibri" w:hAnsi="Calibri" w:cs="Calibri"/>
        </w:rPr>
        <w:t>στ</w:t>
      </w:r>
      <w:r w:rsidR="00D3065A">
        <w:rPr>
          <w:rFonts w:ascii="Calibri" w:hAnsi="Calibri" w:cs="Calibri"/>
        </w:rPr>
        <w:t>ο Βάθρο Εμπορίας Φυσικού Αερίου του ΕΧΕ</w:t>
      </w:r>
      <w:r w:rsidR="00D3065A" w:rsidDel="00D3065A">
        <w:rPr>
          <w:rFonts w:ascii="Calibri" w:hAnsi="Calibri" w:cs="Calibri"/>
        </w:rPr>
        <w:t xml:space="preserve"> </w:t>
      </w:r>
      <w:r>
        <w:rPr>
          <w:rFonts w:ascii="Calibri" w:hAnsi="Calibri" w:cs="Calibri"/>
        </w:rPr>
        <w:t xml:space="preserve">που διακανονίζονται μέσω του «Επικουρικού Συστήματος EnExClear» στο TARGET2-GR ισχύουν οι παρακάτω ειδικοί όροι, ως προς την παροχή υπηρεσιών από την Τράπεζα Διακανονισμού στην EnExClear και τα Εκκαθαριστικά Μέλη της κατά τον Κανονισμό TARGET2-GR και τις διαδικασίες της EnExClear. </w:t>
      </w:r>
    </w:p>
    <w:p w14:paraId="3A4D60D1" w14:textId="77777777" w:rsidR="00714A71" w:rsidRDefault="00714A71" w:rsidP="00A275FD">
      <w:pPr>
        <w:numPr>
          <w:ilvl w:val="0"/>
          <w:numId w:val="5"/>
        </w:numPr>
        <w:snapToGrid w:val="0"/>
        <w:spacing w:before="240" w:after="0" w:line="360" w:lineRule="auto"/>
        <w:jc w:val="both"/>
        <w:rPr>
          <w:rFonts w:ascii="Calibri" w:hAnsi="Calibri" w:cs="Calibri"/>
        </w:rPr>
      </w:pPr>
      <w:r>
        <w:rPr>
          <w:rFonts w:ascii="Calibri" w:hAnsi="Calibri" w:cs="Calibri"/>
        </w:rPr>
        <w:t xml:space="preserve">Η Τράπεζα Διακανονισμού υποχρεούται: </w:t>
      </w:r>
    </w:p>
    <w:p w14:paraId="4588083E"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rPr>
        <w:lastRenderedPageBreak/>
        <w:t xml:space="preserve">Να παρέχει στην </w:t>
      </w:r>
      <w:r>
        <w:rPr>
          <w:rFonts w:ascii="Calibri" w:hAnsi="Calibri" w:cs="Calibri"/>
          <w:lang w:val="x-none"/>
        </w:rPr>
        <w:t>EnExClear</w:t>
      </w:r>
      <w:r>
        <w:rPr>
          <w:rFonts w:ascii="Calibri" w:hAnsi="Calibri" w:cs="Calibri"/>
        </w:rPr>
        <w:t xml:space="preserve"> κάθε αναγκαίο στοιχείο και πληροφορία περιλαμβανομένων και των απαραίτητων εξουσιοδοτήσεων χρήσεως, με βάση τα προβλεπόμενα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ώστε η </w:t>
      </w:r>
      <w:r>
        <w:rPr>
          <w:rFonts w:ascii="Calibri" w:hAnsi="Calibri" w:cs="Calibri"/>
          <w:lang w:val="x-none"/>
        </w:rPr>
        <w:t>EnExClear</w:t>
      </w:r>
      <w:r>
        <w:rPr>
          <w:rFonts w:ascii="Calibri" w:hAnsi="Calibri" w:cs="Calibri"/>
        </w:rPr>
        <w:t xml:space="preserve"> ως φορέας του Επικουρικού Συστήματος </w:t>
      </w:r>
      <w:r>
        <w:rPr>
          <w:rFonts w:ascii="Calibri" w:hAnsi="Calibri" w:cs="Calibri"/>
          <w:lang w:val="x-none"/>
        </w:rPr>
        <w:t>EnExClear</w:t>
      </w:r>
      <w:r>
        <w:rPr>
          <w:rFonts w:ascii="Calibri" w:hAnsi="Calibri" w:cs="Calibri"/>
        </w:rPr>
        <w:t xml:space="preserve"> να είναι σε θέση να περιλαμβάνει την Τράπεζα Διακανονισμού στον κατάλογο τραπεζών διακανονισμού που αποστέλλει στην Τράπεζα της Ελλάδος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w:t>
      </w:r>
    </w:p>
    <w:p w14:paraId="0EB115F5"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lang w:val="en-US"/>
        </w:rPr>
        <w:t>N</w:t>
      </w:r>
      <w:r>
        <w:rPr>
          <w:rFonts w:ascii="Calibri" w:hAnsi="Calibri" w:cs="Calibri"/>
        </w:rPr>
        <w:t xml:space="preserve">α ενημερώνει την </w:t>
      </w:r>
      <w:r>
        <w:rPr>
          <w:rFonts w:ascii="Calibri" w:hAnsi="Calibri" w:cs="Calibri"/>
          <w:lang w:val="x-none"/>
        </w:rPr>
        <w:t>EnExClear</w:t>
      </w:r>
      <w:r>
        <w:rPr>
          <w:rFonts w:ascii="Calibri" w:hAnsi="Calibri" w:cs="Calibri"/>
        </w:rPr>
        <w:t xml:space="preserve"> σε κάθε περίπτωση μεταβολής των στοιχείων και των πληροφοριών που της παρέσχε ως άνω υπό 2.1, ώστε η </w:t>
      </w:r>
      <w:r>
        <w:rPr>
          <w:rFonts w:ascii="Calibri" w:hAnsi="Calibri" w:cs="Calibri"/>
          <w:lang w:val="x-none"/>
        </w:rPr>
        <w:t>EnExClear</w:t>
      </w:r>
      <w:r>
        <w:rPr>
          <w:rFonts w:ascii="Calibri" w:hAnsi="Calibri" w:cs="Calibri"/>
        </w:rPr>
        <w:t xml:space="preserve"> να μπορεί να παρέχει, αντίστοιχα, στην Τράπεζα της Ελλάδος ενημερωμένο κάθε φορά τον κατάλογο τραπεζών διακανονισμού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w:t>
      </w:r>
    </w:p>
    <w:p w14:paraId="3AA40CE7"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rPr>
        <w:t xml:space="preserve">Να συμμορφώνεται με τους όρους της Διαδικασίας Διακανονισμού 6- «Ρευστότητα ειδικού σκοπού και διασυστημικός διακανονισμός» ως ορίζεται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βάσει της οποίας διεξάγεται ο χρηματικός διακανονισμός στο Επικουρικό Σύστημα </w:t>
      </w:r>
      <w:r>
        <w:rPr>
          <w:rFonts w:ascii="Calibri" w:hAnsi="Calibri" w:cs="Calibri"/>
          <w:lang w:val="x-none"/>
        </w:rPr>
        <w:t>EnExClear</w:t>
      </w:r>
      <w:r>
        <w:rPr>
          <w:rFonts w:ascii="Calibri" w:hAnsi="Calibri" w:cs="Calibri"/>
        </w:rPr>
        <w:t xml:space="preserve">, ή με τους όρους τυχόν άλλης Διαδικασίας διακανονισμού που ήθελε υποδειχθεί από την </w:t>
      </w:r>
      <w:r>
        <w:rPr>
          <w:rFonts w:ascii="Calibri" w:hAnsi="Calibri" w:cs="Calibri"/>
          <w:lang w:val="x-none"/>
        </w:rPr>
        <w:t>EnExClear</w:t>
      </w:r>
      <w:r>
        <w:rPr>
          <w:rFonts w:ascii="Calibri" w:hAnsi="Calibri" w:cs="Calibri"/>
        </w:rPr>
        <w:t xml:space="preserve"> με βάση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w:t>
      </w:r>
    </w:p>
    <w:p w14:paraId="428FDCE6"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rPr>
        <w:t xml:space="preserve">Να ανοίγει και να τηρεί επ’ ονόματί της λογαριασμό χρηματικού διακανονισμού («λογαριασμό ΜΠ» (Μονάδα Πληρωμής)) στο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στην Τράπεζα της Ελλάδος, ώστε να είναι σε θέση να υποβάλλει εντολές πληρωμής ή να λαμβάνει πληρωμές μέσω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κατά τα προβλεπόμενα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w:t>
      </w:r>
    </w:p>
    <w:p w14:paraId="241A3B5F"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rPr>
        <w:t xml:space="preserve">Να ανοίγει και να τηρεί, με βάση τις υποδείξεις της </w:t>
      </w:r>
      <w:r>
        <w:rPr>
          <w:rFonts w:ascii="Calibri" w:hAnsi="Calibri" w:cs="Calibri"/>
          <w:lang w:val="x-none"/>
        </w:rPr>
        <w:t>EnExClear</w:t>
      </w:r>
      <w:r>
        <w:rPr>
          <w:rFonts w:ascii="Calibri" w:hAnsi="Calibri" w:cs="Calibri"/>
        </w:rPr>
        <w:t xml:space="preserve"> και πάντοτε σε συμμόρφωση προς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έναν ή και περισσότερους υπολογαριασμούς, υπό τον ως άνω υπό 2.4 λογαριασμό ΜΠ, για τα Εκκαθαριστικά Μέλη προς τα οποία παρέχει σχετικές υπηρεσίες, περιλαμβανομένης και της ιδίας ως Εκκαθαριστικό Μέλος όπου συντρέχει περίπτωση, ώστε να εξυπηρετούνται οι τυχόν διαφορετικές ανάγκες χρηματικού διακανονισμού, μέσω του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στην Τράπεζα της Ελλάδος, σε σχέση με τα εκάστοτε κατ’ ιδίαν συστήματα διακανονισμού, κεντρικού αντισυμβαλλομένου ή εκκαθάρισης με τα οποία συνδέεται η </w:t>
      </w:r>
      <w:r>
        <w:rPr>
          <w:rFonts w:ascii="Calibri" w:hAnsi="Calibri" w:cs="Calibri"/>
          <w:lang w:val="x-none"/>
        </w:rPr>
        <w:t>EnExClear</w:t>
      </w:r>
      <w:r>
        <w:rPr>
          <w:rFonts w:ascii="Calibri" w:hAnsi="Calibri" w:cs="Calibri"/>
        </w:rPr>
        <w:t>. Για το άνοιγμα κάθε υπολογαριασμού η Τράπεζα Διακανονισμού οφείλει να συμπληρώνει κατάλληλα την τυποποιημένη δήλωση «</w:t>
      </w:r>
      <w:r>
        <w:rPr>
          <w:rFonts w:ascii="Calibri" w:hAnsi="Calibri" w:cs="Calibri"/>
          <w:lang w:val="en-US"/>
        </w:rPr>
        <w:t>TARGET</w:t>
      </w:r>
      <w:r>
        <w:rPr>
          <w:rFonts w:ascii="Calibri" w:hAnsi="Calibri" w:cs="Calibri"/>
        </w:rPr>
        <w:t xml:space="preserve">2 </w:t>
      </w:r>
      <w:r>
        <w:rPr>
          <w:rFonts w:ascii="Calibri" w:hAnsi="Calibri" w:cs="Calibri"/>
          <w:lang w:val="en-US"/>
        </w:rPr>
        <w:t>form</w:t>
      </w:r>
      <w:r w:rsidRPr="00714A71">
        <w:rPr>
          <w:rFonts w:ascii="Calibri" w:hAnsi="Calibri" w:cs="Calibri"/>
        </w:rPr>
        <w:t xml:space="preserve"> </w:t>
      </w:r>
      <w:r>
        <w:rPr>
          <w:rFonts w:ascii="Calibri" w:hAnsi="Calibri" w:cs="Calibri"/>
          <w:lang w:val="en-US"/>
        </w:rPr>
        <w:t>collection</w:t>
      </w:r>
      <w:r w:rsidRPr="00714A71">
        <w:rPr>
          <w:rFonts w:ascii="Calibri" w:hAnsi="Calibri" w:cs="Calibri"/>
        </w:rPr>
        <w:t xml:space="preserve"> </w:t>
      </w:r>
      <w:r>
        <w:rPr>
          <w:rFonts w:ascii="Calibri" w:hAnsi="Calibri" w:cs="Calibri"/>
          <w:lang w:val="en-US"/>
        </w:rPr>
        <w:t>of</w:t>
      </w:r>
      <w:r w:rsidRPr="00714A71">
        <w:rPr>
          <w:rFonts w:ascii="Calibri" w:hAnsi="Calibri" w:cs="Calibri"/>
        </w:rPr>
        <w:t xml:space="preserve"> </w:t>
      </w:r>
      <w:r>
        <w:rPr>
          <w:rFonts w:ascii="Calibri" w:hAnsi="Calibri" w:cs="Calibri"/>
          <w:lang w:val="en-US"/>
        </w:rPr>
        <w:t>Static</w:t>
      </w:r>
      <w:r w:rsidRPr="00714A71">
        <w:rPr>
          <w:rFonts w:ascii="Calibri" w:hAnsi="Calibri" w:cs="Calibri"/>
        </w:rPr>
        <w:t xml:space="preserve"> </w:t>
      </w:r>
      <w:r>
        <w:rPr>
          <w:rFonts w:ascii="Calibri" w:hAnsi="Calibri" w:cs="Calibri"/>
          <w:lang w:val="en-US"/>
        </w:rPr>
        <w:t>Data</w:t>
      </w:r>
      <w:r>
        <w:rPr>
          <w:rFonts w:ascii="Calibri" w:hAnsi="Calibri" w:cs="Calibri"/>
        </w:rPr>
        <w:t xml:space="preserve"> - </w:t>
      </w:r>
      <w:r>
        <w:rPr>
          <w:rFonts w:ascii="Calibri" w:hAnsi="Calibri" w:cs="Calibri"/>
          <w:lang w:val="en-US"/>
        </w:rPr>
        <w:t>Sub</w:t>
      </w:r>
      <w:r w:rsidRPr="00714A71">
        <w:rPr>
          <w:rFonts w:ascii="Calibri" w:hAnsi="Calibri" w:cs="Calibri"/>
        </w:rPr>
        <w:t xml:space="preserve"> </w:t>
      </w:r>
      <w:r>
        <w:rPr>
          <w:rFonts w:ascii="Calibri" w:hAnsi="Calibri" w:cs="Calibri"/>
          <w:lang w:val="en-US"/>
        </w:rPr>
        <w:t>Account</w:t>
      </w:r>
      <w:r w:rsidRPr="00714A71">
        <w:rPr>
          <w:rFonts w:ascii="Calibri" w:hAnsi="Calibri" w:cs="Calibri"/>
        </w:rPr>
        <w:t xml:space="preserve"> </w:t>
      </w:r>
      <w:r>
        <w:rPr>
          <w:rFonts w:ascii="Calibri" w:hAnsi="Calibri" w:cs="Calibri"/>
          <w:lang w:val="en-US"/>
        </w:rPr>
        <w:t>for</w:t>
      </w:r>
      <w:r w:rsidRPr="00714A71">
        <w:rPr>
          <w:rFonts w:ascii="Calibri" w:hAnsi="Calibri" w:cs="Calibri"/>
        </w:rPr>
        <w:t xml:space="preserve"> </w:t>
      </w:r>
      <w:r>
        <w:rPr>
          <w:rFonts w:ascii="Calibri" w:hAnsi="Calibri" w:cs="Calibri"/>
          <w:lang w:val="en-US"/>
        </w:rPr>
        <w:t>dedicated</w:t>
      </w:r>
      <w:r w:rsidRPr="00714A71">
        <w:rPr>
          <w:rFonts w:ascii="Calibri" w:hAnsi="Calibri" w:cs="Calibri"/>
        </w:rPr>
        <w:t xml:space="preserve"> </w:t>
      </w:r>
      <w:r>
        <w:rPr>
          <w:rFonts w:ascii="Calibri" w:hAnsi="Calibri" w:cs="Calibri"/>
          <w:lang w:val="en-US"/>
        </w:rPr>
        <w:t>liquidity</w:t>
      </w:r>
      <w:r>
        <w:rPr>
          <w:rFonts w:ascii="Calibri" w:hAnsi="Calibri" w:cs="Calibri"/>
        </w:rPr>
        <w:t>»</w:t>
      </w:r>
      <w:r>
        <w:t xml:space="preserve"> </w:t>
      </w:r>
      <w:r>
        <w:rPr>
          <w:rFonts w:ascii="Calibri" w:hAnsi="Calibri" w:cs="Calibri"/>
        </w:rPr>
        <w:t xml:space="preserve">(Έντυπο 1014) και να την υποβάλει στην Τράπεζα της Ελλάδος η ίδια, γνωστοποιώντας αντίγραφό της στην </w:t>
      </w:r>
      <w:r>
        <w:rPr>
          <w:rFonts w:ascii="Calibri" w:hAnsi="Calibri" w:cs="Calibri"/>
          <w:lang w:val="x-none"/>
        </w:rPr>
        <w:t>EnExClear</w:t>
      </w:r>
      <w:r>
        <w:rPr>
          <w:rFonts w:ascii="Calibri" w:hAnsi="Calibri" w:cs="Calibri"/>
        </w:rPr>
        <w:t xml:space="preserve">, </w:t>
      </w:r>
      <w:r>
        <w:rPr>
          <w:rFonts w:ascii="Calibri" w:hAnsi="Calibri" w:cs="Calibri"/>
        </w:rPr>
        <w:lastRenderedPageBreak/>
        <w:t xml:space="preserve">ή μέσω της </w:t>
      </w:r>
      <w:r>
        <w:rPr>
          <w:rFonts w:ascii="Calibri" w:hAnsi="Calibri" w:cs="Calibri"/>
          <w:lang w:val="x-none"/>
        </w:rPr>
        <w:t>EnExClear</w:t>
      </w:r>
      <w:r>
        <w:rPr>
          <w:rFonts w:ascii="Calibri" w:hAnsi="Calibri" w:cs="Calibri"/>
        </w:rPr>
        <w:t xml:space="preserve"> σύμφωνα με τις διαδικασίες της </w:t>
      </w:r>
      <w:r>
        <w:rPr>
          <w:rFonts w:ascii="Calibri" w:hAnsi="Calibri" w:cs="Calibri"/>
          <w:lang w:val="x-none"/>
        </w:rPr>
        <w:t>EnExClear</w:t>
      </w:r>
      <w:r>
        <w:rPr>
          <w:rFonts w:ascii="Calibri" w:hAnsi="Calibri" w:cs="Calibri"/>
        </w:rPr>
        <w:t xml:space="preserve">. Η Τράπεζα Διακανονισμού αποδέχεται το δικαίωμα της </w:t>
      </w:r>
      <w:r>
        <w:rPr>
          <w:rFonts w:ascii="Calibri" w:hAnsi="Calibri" w:cs="Calibri"/>
          <w:lang w:val="x-none"/>
        </w:rPr>
        <w:t>EnExClear</w:t>
      </w:r>
      <w:r>
        <w:rPr>
          <w:rFonts w:ascii="Calibri" w:hAnsi="Calibri" w:cs="Calibri"/>
        </w:rPr>
        <w:t xml:space="preserve"> να προσδιορίζει τους ως άνω υπολογαριασμούς με ειδικότερους όρους και γνωρίσματα, ώστε να μπορούν να διακρίνονται αυτοί στις διαδικασίες χρηματικού διακανονισμού και να ελέγχεται επαρκώς από την </w:t>
      </w:r>
      <w:r>
        <w:rPr>
          <w:rFonts w:ascii="Calibri" w:hAnsi="Calibri" w:cs="Calibri"/>
          <w:lang w:val="x-none"/>
        </w:rPr>
        <w:t>EnExClear</w:t>
      </w:r>
      <w:r>
        <w:rPr>
          <w:rFonts w:ascii="Calibri" w:hAnsi="Calibri" w:cs="Calibri"/>
        </w:rPr>
        <w:t xml:space="preserve"> η ενημερότητα αυτών και των Εκκαθαριστικών Μελών τους έναντι του χρηματικού διακανονισμού. </w:t>
      </w:r>
    </w:p>
    <w:p w14:paraId="1D6480DC"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rPr>
        <w:t xml:space="preserve">Να ανοίγει, με απλή αίτηση Εκκαθαριστικού Μέλους, και να τηρεί για το Εκκαθαριστικό Μέλος στο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υπολογαριασμό σε λογαριασμό ΜΠ αυτής, ως ορίζεται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για το διακανονισμό των χρηματικών δικαιωμάτων και υποχρεώσεων του Εκκαθαριστικού Μέλους, όπως προκύπτουν με βάση τις εντολές πληρωμής της </w:t>
      </w:r>
      <w:r>
        <w:rPr>
          <w:rFonts w:ascii="Calibri" w:hAnsi="Calibri" w:cs="Calibri"/>
          <w:lang w:val="x-none"/>
        </w:rPr>
        <w:t>EnExClear</w:t>
      </w:r>
      <w:r>
        <w:rPr>
          <w:rFonts w:ascii="Calibri" w:hAnsi="Calibri" w:cs="Calibri"/>
        </w:rPr>
        <w:t xml:space="preserve">. </w:t>
      </w:r>
    </w:p>
    <w:p w14:paraId="33B02721"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lang w:val="en-US"/>
        </w:rPr>
        <w:t>N</w:t>
      </w:r>
      <w:r>
        <w:rPr>
          <w:rFonts w:ascii="Calibri" w:hAnsi="Calibri" w:cs="Calibri"/>
        </w:rPr>
        <w:t xml:space="preserve">α τηρεί έναν υπολογαριασμό για κάθε Εκκαθαριστικό Μέλος, προς τον οποίο παρέχει σχετικές υπηρεσίες, για: </w:t>
      </w:r>
    </w:p>
    <w:p w14:paraId="07D9E11A" w14:textId="4BA03AAE" w:rsidR="00714A71" w:rsidRDefault="00714A71" w:rsidP="00A275FD">
      <w:pPr>
        <w:numPr>
          <w:ilvl w:val="2"/>
          <w:numId w:val="6"/>
        </w:numPr>
        <w:snapToGrid w:val="0"/>
        <w:spacing w:before="240" w:after="0" w:line="360" w:lineRule="auto"/>
        <w:jc w:val="both"/>
        <w:rPr>
          <w:rFonts w:ascii="Calibri" w:hAnsi="Calibri" w:cs="Calibri"/>
        </w:rPr>
      </w:pPr>
      <w:r>
        <w:rPr>
          <w:rFonts w:ascii="Calibri" w:hAnsi="Calibri" w:cs="Calibri"/>
        </w:rPr>
        <w:t xml:space="preserve">το διακανονισμό των χρηματικών δικαιωμάτων και υποχρεώσεων του Εκκαθαριστικού Μέλους που προκύπτουν από τις συναλλαγές </w:t>
      </w:r>
      <w:r w:rsidR="00D3065A" w:rsidRPr="00C7088A">
        <w:rPr>
          <w:rFonts w:ascii="Calibri" w:hAnsi="Calibri" w:cs="Calibri"/>
        </w:rPr>
        <w:t>στ</w:t>
      </w:r>
      <w:r w:rsidR="00D3065A">
        <w:rPr>
          <w:rFonts w:ascii="Calibri" w:hAnsi="Calibri" w:cs="Calibri"/>
        </w:rPr>
        <w:t>ο Βάθρο Εμπορίας Φυσικού Αερίου του ΕΧΕ</w:t>
      </w:r>
      <w:r>
        <w:rPr>
          <w:rFonts w:ascii="Calibri" w:hAnsi="Calibri" w:cs="Calibri"/>
        </w:rPr>
        <w:t xml:space="preserve"> και την εκκαθάριση αυτών μέσω του διαχειριζόμενου από την </w:t>
      </w:r>
      <w:r>
        <w:rPr>
          <w:rFonts w:ascii="Calibri" w:hAnsi="Calibri" w:cs="Calibri"/>
          <w:lang w:val="x-none"/>
        </w:rPr>
        <w:t>EnExClear</w:t>
      </w:r>
      <w:r>
        <w:rPr>
          <w:rFonts w:ascii="Calibri" w:hAnsi="Calibri" w:cs="Calibri"/>
        </w:rPr>
        <w:t xml:space="preserve"> Συστήματος Εκκαθάρισης</w:t>
      </w:r>
    </w:p>
    <w:p w14:paraId="4C9D5A31" w14:textId="77777777" w:rsidR="00714A71" w:rsidRDefault="00714A71" w:rsidP="00A275FD">
      <w:pPr>
        <w:numPr>
          <w:ilvl w:val="2"/>
          <w:numId w:val="6"/>
        </w:numPr>
        <w:snapToGrid w:val="0"/>
        <w:spacing w:before="240" w:after="0" w:line="360" w:lineRule="auto"/>
        <w:jc w:val="both"/>
        <w:rPr>
          <w:rFonts w:ascii="Calibri" w:hAnsi="Calibri" w:cs="Calibri"/>
        </w:rPr>
      </w:pPr>
      <w:r>
        <w:rPr>
          <w:rFonts w:ascii="Calibri" w:hAnsi="Calibri" w:cs="Calibri"/>
        </w:rPr>
        <w:t xml:space="preserve">το διακανονισμό των χρηματικών δικαιωμάτων και υποχρεώσεων του Εκκαθαριστικού Μέλους που προκύπτουν από άλλες τυχόν εξωχρηματιστηριακές συναλλαγές εκκαθαριζόμενες από την </w:t>
      </w:r>
      <w:r>
        <w:rPr>
          <w:rFonts w:ascii="Calibri" w:hAnsi="Calibri" w:cs="Calibri"/>
          <w:lang w:val="x-none"/>
        </w:rPr>
        <w:t>EnExClear</w:t>
      </w:r>
    </w:p>
    <w:p w14:paraId="4B99E909" w14:textId="77777777" w:rsidR="00714A71" w:rsidRDefault="00714A71" w:rsidP="00A275FD">
      <w:pPr>
        <w:numPr>
          <w:ilvl w:val="2"/>
          <w:numId w:val="6"/>
        </w:numPr>
        <w:snapToGrid w:val="0"/>
        <w:spacing w:before="240" w:after="0" w:line="360" w:lineRule="auto"/>
        <w:jc w:val="both"/>
        <w:rPr>
          <w:rFonts w:ascii="Calibri" w:hAnsi="Calibri" w:cs="Calibri"/>
        </w:rPr>
      </w:pPr>
      <w:r>
        <w:rPr>
          <w:rFonts w:ascii="Calibri" w:hAnsi="Calibri" w:cs="Calibri"/>
        </w:rPr>
        <w:t xml:space="preserve">την καταβολή από το Εκκαθαριστικό Μέλος των πάσης φύσεως φόρων, χρεώσεων και λοιπών δικαιωμάτων υπέρ της </w:t>
      </w:r>
      <w:r>
        <w:rPr>
          <w:rFonts w:ascii="Calibri" w:hAnsi="Calibri" w:cs="Calibri"/>
          <w:lang w:val="x-none"/>
        </w:rPr>
        <w:t>EnExClear</w:t>
      </w:r>
      <w:r>
        <w:rPr>
          <w:rFonts w:ascii="Calibri" w:hAnsi="Calibri" w:cs="Calibri"/>
        </w:rPr>
        <w:t>, του ΕΧΕ ή άλλων τρίτων</w:t>
      </w:r>
    </w:p>
    <w:p w14:paraId="6A8DD2F0" w14:textId="77777777" w:rsidR="00714A71" w:rsidRDefault="00714A71" w:rsidP="00A275FD">
      <w:pPr>
        <w:numPr>
          <w:ilvl w:val="2"/>
          <w:numId w:val="6"/>
        </w:numPr>
        <w:snapToGrid w:val="0"/>
        <w:spacing w:before="240" w:after="0" w:line="360" w:lineRule="auto"/>
        <w:jc w:val="both"/>
        <w:rPr>
          <w:rFonts w:ascii="Calibri" w:hAnsi="Calibri" w:cs="Calibri"/>
        </w:rPr>
      </w:pPr>
      <w:r>
        <w:rPr>
          <w:rFonts w:ascii="Calibri" w:hAnsi="Calibri" w:cs="Calibri"/>
        </w:rPr>
        <w:t xml:space="preserve">την καταβολή από το Εκκαθαριστικό Μέλος οφειλόμενης υπέρ </w:t>
      </w:r>
      <w:r>
        <w:rPr>
          <w:rFonts w:ascii="Calibri" w:hAnsi="Calibri" w:cs="Calibri"/>
          <w:lang w:val="x-none"/>
        </w:rPr>
        <w:t>EnExClear</w:t>
      </w:r>
      <w:r>
        <w:rPr>
          <w:rFonts w:ascii="Calibri" w:hAnsi="Calibri" w:cs="Calibri"/>
        </w:rPr>
        <w:t xml:space="preserve"> ασφάλειας ή εισφοράς υπέρ του Κεφαλαίου Εκκαθάρισης   </w:t>
      </w:r>
    </w:p>
    <w:p w14:paraId="5DE224C4"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rPr>
        <w:t xml:space="preserve">Να μεριμνά ώστε να διασφαλίζεται η επικοινωνία ενός εκάστου ως άνω υπολογαριασμού του Εκκαθαριστικού Μέλους με τους υποδεικνυόμενους από το Εκκαθαριστικό Μέλος εμπορικούς χρηματικούς λογαριασμούς του, ώστε να μπορούν να διενεργούνται σύμφωνα με 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και τις διαδικασίες της </w:t>
      </w:r>
      <w:r>
        <w:rPr>
          <w:rFonts w:ascii="Calibri" w:hAnsi="Calibri" w:cs="Calibri"/>
          <w:lang w:val="x-none"/>
        </w:rPr>
        <w:t>EnExClear</w:t>
      </w:r>
      <w:r>
        <w:rPr>
          <w:rFonts w:ascii="Calibri" w:hAnsi="Calibri" w:cs="Calibri"/>
        </w:rPr>
        <w:t xml:space="preserve"> οι απαραίτητες </w:t>
      </w:r>
      <w:r>
        <w:rPr>
          <w:rFonts w:ascii="Calibri" w:hAnsi="Calibri" w:cs="Calibri"/>
        </w:rPr>
        <w:lastRenderedPageBreak/>
        <w:t xml:space="preserve">χρηματοροές από τους εμπορικούς λογαριασμούς του Εκκαθαριστικού Μέλους στους οικείους υπολογαριασμούς στην Τράπεζα Διακανονισμού και αντίστροφα, χάριν ομαλής λειτουργίας του διακανονισμού. Για τη διασφάλιση αυτής της επικοινωνίας η Τράπεζα Διακανονισμού θα έχει πρόσβαση στους εκάστοτε εμπορικούς χρηματικούς λογαριασμούς του Εκκαθαριστικού Μέλους ή, εναλλακτικά, το Εκκαθαριστικό Μέλος θα μεριμνά ώστε να εμβάζει τα απαραίτητα κάθε φορά χρηματικά ποσά στην Τράπεζα Διακανονισμού μέσω των σχετικών λογαριασμών κατά τις ειδικότερες διαδικασίες που θα συμφωνούνται κάθε φορά μεταξύ της Τράπεζας Διακανονισμού και του Εκκαθαριστικού Μέλους. </w:t>
      </w:r>
    </w:p>
    <w:p w14:paraId="47A95C67" w14:textId="77777777" w:rsidR="00714A71" w:rsidRDefault="00714A71" w:rsidP="00A275FD">
      <w:pPr>
        <w:numPr>
          <w:ilvl w:val="1"/>
          <w:numId w:val="6"/>
        </w:numPr>
        <w:snapToGrid w:val="0"/>
        <w:spacing w:before="240" w:after="0" w:line="360" w:lineRule="auto"/>
        <w:jc w:val="both"/>
        <w:rPr>
          <w:rFonts w:ascii="Calibri" w:hAnsi="Calibri" w:cs="Calibri"/>
        </w:rPr>
      </w:pPr>
      <w:r>
        <w:rPr>
          <w:rFonts w:ascii="Calibri" w:hAnsi="Calibri" w:cs="Calibri"/>
        </w:rPr>
        <w:t xml:space="preserve">Να διενεργεί εμπρόθεσμα τις απαραίτητες χρεωπιστώσεις μεταξύ του υπολογαριασμού του Εκκαθαριστικού Μέλους και του λογαριασμού ΜΠ αυτής στο TARGET2-GR στην Τράπεζα της Ελλάδος σύμφωνα με τις σχετικές εντολές του Εκκαθαριστικού Μέλους υποβάλλοντας εντολές πληρωμής ή λαμβάνοντας πληρωμές μέσω του TARGET2-GR, σε εκπλήρωση των υποχρεώσεων του Εκκαθαριστικού Μέλους σε σχέση με το Επικουρικό Σύστημα EnExClear. Αναγνωρίζει ρητώς η Τράπεζα Διακανονισμού ότι η EnExClear θα έχει κάθε δικαίωμα κίνησης των υπολογαριασμών του Εκκαθαριστικού Μέλους σύμφωνα με τα προβλεπόμενα στον Κανονισμό TARGET2-GR. </w:t>
      </w:r>
    </w:p>
    <w:p w14:paraId="474AB628" w14:textId="77777777" w:rsidR="00714A71" w:rsidRDefault="00714A71" w:rsidP="00A275FD">
      <w:pPr>
        <w:numPr>
          <w:ilvl w:val="1"/>
          <w:numId w:val="6"/>
        </w:numPr>
        <w:tabs>
          <w:tab w:val="num" w:pos="567"/>
        </w:tabs>
        <w:snapToGrid w:val="0"/>
        <w:spacing w:before="240" w:after="0" w:line="360" w:lineRule="auto"/>
        <w:ind w:hanging="436"/>
        <w:jc w:val="both"/>
        <w:rPr>
          <w:rFonts w:ascii="Calibri" w:hAnsi="Calibri" w:cs="Calibri"/>
        </w:rPr>
      </w:pPr>
      <w:r>
        <w:rPr>
          <w:rFonts w:ascii="Calibri" w:hAnsi="Calibri" w:cs="Calibri"/>
        </w:rPr>
        <w:t xml:space="preserve">Να μη προβαίνει σε χρήση/χρέωση του υπολοίπου υπολογαριασμού του Εκκαθαριστικού Μέλους για άλλη αιτία (ενδεικτικώς με συμψηφισμό ή επίσχεση) πέραν αυτής που αφορά στην εκπλήρωση των υποχρεώσεων του Εκκαθαριστικού Μέλους ή στο πλαίσιο του χρηματικού διακανονισμού. </w:t>
      </w:r>
    </w:p>
    <w:p w14:paraId="183AF519" w14:textId="77777777" w:rsidR="00714A71" w:rsidRDefault="00714A71" w:rsidP="00A275FD">
      <w:pPr>
        <w:numPr>
          <w:ilvl w:val="1"/>
          <w:numId w:val="6"/>
        </w:numPr>
        <w:snapToGrid w:val="0"/>
        <w:spacing w:before="240" w:after="0" w:line="360" w:lineRule="auto"/>
        <w:ind w:hanging="436"/>
        <w:jc w:val="both"/>
        <w:rPr>
          <w:rFonts w:ascii="Calibri" w:hAnsi="Calibri" w:cs="Calibri"/>
        </w:rPr>
      </w:pPr>
      <w:r>
        <w:rPr>
          <w:rFonts w:ascii="Calibri" w:hAnsi="Calibri" w:cs="Calibri"/>
        </w:rPr>
        <w:t xml:space="preserve">Σε περίπτωση εναπομείναντος υπολοίπου στον υπολογαριασμό του Εκκαθαριστικού Μέλους μετά το πέρας της Διαδικασίας διακανονισμού, να προβαίνει σε κάθε αναγκαία ενέργεια για τη μεταφορά του σχετικού υπολοίπου στον εμπορικό χρηματικό λογαριασμό του Εκκαθαριστικού Μέλους από τον άνω υπολογαριασμό ή μέσω του λογαριασμού ΜΠ αυτής κατά τα ειδικότερα προβλεπόμενα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w:t>
      </w:r>
    </w:p>
    <w:p w14:paraId="28D98E62" w14:textId="77777777" w:rsidR="00714A71" w:rsidRDefault="00714A71" w:rsidP="00A275FD">
      <w:pPr>
        <w:numPr>
          <w:ilvl w:val="1"/>
          <w:numId w:val="6"/>
        </w:numPr>
        <w:snapToGrid w:val="0"/>
        <w:spacing w:before="240" w:after="0" w:line="360" w:lineRule="auto"/>
        <w:ind w:hanging="436"/>
        <w:jc w:val="both"/>
        <w:rPr>
          <w:rFonts w:ascii="Calibri" w:hAnsi="Calibri" w:cs="Calibri"/>
        </w:rPr>
      </w:pPr>
      <w:r>
        <w:rPr>
          <w:rFonts w:ascii="Calibri" w:hAnsi="Calibri" w:cs="Calibri"/>
        </w:rPr>
        <w:t xml:space="preserve">Να ειδοποιεί άμεσα τα Εκκαθαριστικά Μέλη σε περίπτωση οποιασδήποτε βλάβης ή δυσλειτουργίας και εν γένει τεχνικών προβλημάτων ή άλλων έκτακτων αναγκών που διαταράσσουν τη λειτουργία των οικείων υπολογαριασμών τους και γενικά που επηρεάζουν την ομαλή λειτουργία του χρηματικού διακανονισμού. </w:t>
      </w:r>
    </w:p>
    <w:p w14:paraId="3D381853" w14:textId="77777777" w:rsidR="00714A71" w:rsidRDefault="00714A71" w:rsidP="00A275FD">
      <w:pPr>
        <w:numPr>
          <w:ilvl w:val="1"/>
          <w:numId w:val="6"/>
        </w:numPr>
        <w:snapToGrid w:val="0"/>
        <w:spacing w:before="240" w:after="0" w:line="360" w:lineRule="auto"/>
        <w:ind w:hanging="436"/>
        <w:jc w:val="both"/>
        <w:rPr>
          <w:rFonts w:ascii="Calibri" w:hAnsi="Calibri" w:cs="Calibri"/>
        </w:rPr>
      </w:pPr>
      <w:r>
        <w:rPr>
          <w:rFonts w:ascii="Calibri" w:hAnsi="Calibri" w:cs="Calibri"/>
        </w:rPr>
        <w:lastRenderedPageBreak/>
        <w:t xml:space="preserve">Να ειδοποιεί άμεσα την </w:t>
      </w:r>
      <w:r>
        <w:rPr>
          <w:rFonts w:ascii="Calibri" w:hAnsi="Calibri" w:cs="Calibri"/>
          <w:lang w:val="x-none"/>
        </w:rPr>
        <w:t>EnExClear</w:t>
      </w:r>
      <w:r>
        <w:rPr>
          <w:rFonts w:ascii="Calibri" w:hAnsi="Calibri" w:cs="Calibri"/>
        </w:rPr>
        <w:t xml:space="preserve"> σε περίπτωση οποιασδήποτε βλάβης ή δυσλειτουργίας και εν γένει τεχνικών προβλημάτων ή άλλων έκτακτων αναγκών που διαταράσσουν τη λειτουργία των υπολογαριασμών μεμονωμένου Εκκαθαριστικού Μέλους ή όλων των Εκκαθαριστικών Μελών προς τους οποίους παρέχει υπηρεσίες. </w:t>
      </w:r>
    </w:p>
    <w:p w14:paraId="2C09F003" w14:textId="77777777" w:rsidR="00714A71" w:rsidRDefault="00714A71" w:rsidP="00A275FD">
      <w:pPr>
        <w:numPr>
          <w:ilvl w:val="1"/>
          <w:numId w:val="6"/>
        </w:numPr>
        <w:snapToGrid w:val="0"/>
        <w:spacing w:before="240" w:after="0" w:line="360" w:lineRule="auto"/>
        <w:ind w:hanging="436"/>
        <w:jc w:val="both"/>
        <w:rPr>
          <w:rFonts w:ascii="Calibri" w:hAnsi="Calibri" w:cs="Calibri"/>
        </w:rPr>
      </w:pPr>
      <w:r>
        <w:rPr>
          <w:rFonts w:ascii="Calibri" w:hAnsi="Calibri" w:cs="Calibri"/>
        </w:rPr>
        <w:t>Να διαθέτει: α) εξειδικευμένο προσωπικό για την άσκηση των πάσης φύσεως εργασιών που αφορούν στη διεξαγωγή και επίβλεψη του χρηματικού διακανονισμού, β) προσωπικό ασφαλείας, σύμφωνα με τα καθοριζόμενα στη κείμενη νομοθεσία, για την επαρκή κάλυψη των αναγκών που σχετίζονται με τις εργασίες χρηματικού διακανονισμού, ιδίως σε περιπτώσεις απεργιών του προσωπικού της, γ) συστήματα ασφαλείας (</w:t>
      </w:r>
      <w:r>
        <w:rPr>
          <w:rFonts w:ascii="Calibri" w:hAnsi="Calibri" w:cs="Calibri"/>
          <w:lang w:val="en-US"/>
        </w:rPr>
        <w:t>back</w:t>
      </w:r>
      <w:r w:rsidRPr="00714A71">
        <w:rPr>
          <w:rFonts w:ascii="Calibri" w:hAnsi="Calibri" w:cs="Calibri"/>
        </w:rPr>
        <w:t xml:space="preserve"> </w:t>
      </w:r>
      <w:r>
        <w:rPr>
          <w:rFonts w:ascii="Calibri" w:hAnsi="Calibri" w:cs="Calibri"/>
          <w:lang w:val="en-US"/>
        </w:rPr>
        <w:t>up</w:t>
      </w:r>
      <w:r>
        <w:rPr>
          <w:rFonts w:ascii="Calibri" w:hAnsi="Calibri" w:cs="Calibri"/>
        </w:rPr>
        <w:t>) για την καταχώρηση και αποθήκευση των πάσης φύσεως δεδομένων που σχετίζονται με τη λειτουργία της ως Τράπεζας Διακανονισμού, καθώς και διαδικασία αντιμετώπισης καταστροφών (</w:t>
      </w:r>
      <w:r>
        <w:rPr>
          <w:rFonts w:ascii="Calibri" w:hAnsi="Calibri" w:cs="Calibri"/>
          <w:lang w:val="en-US"/>
        </w:rPr>
        <w:t>disaster</w:t>
      </w:r>
      <w:r w:rsidRPr="00714A71">
        <w:rPr>
          <w:rFonts w:ascii="Calibri" w:hAnsi="Calibri" w:cs="Calibri"/>
        </w:rPr>
        <w:t xml:space="preserve"> </w:t>
      </w:r>
      <w:r>
        <w:rPr>
          <w:rFonts w:ascii="Calibri" w:hAnsi="Calibri" w:cs="Calibri"/>
          <w:lang w:val="en-US"/>
        </w:rPr>
        <w:t>center</w:t>
      </w:r>
      <w:r>
        <w:rPr>
          <w:rFonts w:ascii="Calibri" w:hAnsi="Calibri" w:cs="Calibri"/>
        </w:rPr>
        <w:t xml:space="preserve">) για τη διαχείριση και αντιμετώπιση εκτάκτων καταστάσεων, ιδίως σε περιπτώσεις δυσλειτουργίας των μηχανισμών σύνδεσής της με την Τράπεζα της Ελλάδος και, εν γένει, των συμμετεχόντων στο χρηματικό διακανονισμό ή άλλης έκτακτης ανάγκης, την οποία διαδικασία θα ενεργοποιεί για τη διασφάλιση της προσήκουσας διεξαγωγής του χρηματικού διακανονισμού. </w:t>
      </w:r>
    </w:p>
    <w:p w14:paraId="14495DFD" w14:textId="77777777" w:rsidR="00714A71" w:rsidRDefault="00714A71" w:rsidP="00A275FD">
      <w:pPr>
        <w:numPr>
          <w:ilvl w:val="1"/>
          <w:numId w:val="6"/>
        </w:numPr>
        <w:snapToGrid w:val="0"/>
        <w:spacing w:before="240" w:after="0" w:line="360" w:lineRule="auto"/>
        <w:ind w:hanging="436"/>
        <w:jc w:val="both"/>
        <w:rPr>
          <w:rFonts w:ascii="Calibri" w:hAnsi="Calibri" w:cs="Calibri"/>
        </w:rPr>
      </w:pPr>
      <w:r>
        <w:rPr>
          <w:rFonts w:ascii="Calibri" w:hAnsi="Calibri" w:cs="Calibri"/>
        </w:rPr>
        <w:t xml:space="preserve">Να τηρεί την οφειλόμενη εμπιστευτικότητα ως προς τα στοιχεία και τις πληροφορίες που θα περιέχονται στο ηλεκτρονικό της σύστημα στο πλαίσιο των υποχρεώσεών της ως Τράπεζας Διακανονισμού, καθώς και ως προς κάθε στοιχείο και πληροφορία αποκτά με αφορμή εκτέλεση πράξεων που σχετίζονται άμεσα ή έμμεσα με τις άνω υποχρεώσεις της, καθ’ όλη τη διάρκεια λειτουργίας της ως Τράπεζας Διακανονισμού αλλά και μετά την περάτωσή της, λαμβάνοντας όλα τα αναγκαία μέτρα για να παρεμποδίσει την αποκάλυψη τους, είτε εν όλω είτε εν μέρει σε τρίτα μη νομιμοποιούμενα πρόσωπα, οργανισμούς ή υπηρεσίες εν γένει, με εξαίρεση τις περιπτώσεις στις οποίες κάμπτεται η υποχρέωση εμπιστευτικότητας ή απορρήτου λόγω διατάξεων της νομοθεσίας και, ενδεικτικώς, στο πλαίσιο παροχής πληροφοριών σε αρμόδιες εποπτικές ή δικαστικές αρχές. Προς το σκοπό αυτό να μεριμνά για την τήρηση των ως άνω διαλαμβανομένων και ως προς τα πρόσωπα που απασχολεί για τη λειτουργία της ως Τράπεζας Διακανονισμού. Εξυπακούεται ότι η Τράπεζα Διακανονισμού δύναται να παρέχει τα ανωτέρω στοιχεία και πληροφορίες ως προς τα Εκκαθαριστικά Μέλη στην </w:t>
      </w:r>
      <w:r>
        <w:rPr>
          <w:rFonts w:ascii="Calibri" w:hAnsi="Calibri" w:cs="Calibri"/>
          <w:lang w:val="x-none"/>
        </w:rPr>
        <w:t>EnExClear</w:t>
      </w:r>
      <w:r>
        <w:rPr>
          <w:rFonts w:ascii="Calibri" w:hAnsi="Calibri" w:cs="Calibri"/>
        </w:rPr>
        <w:t xml:space="preserve">, στο πλαίσιο άσκησης των νομίμων καθηκόντων της. </w:t>
      </w:r>
    </w:p>
    <w:p w14:paraId="5DA75D8B" w14:textId="77777777" w:rsidR="00714A71" w:rsidRDefault="00714A71" w:rsidP="00A275FD">
      <w:pPr>
        <w:numPr>
          <w:ilvl w:val="0"/>
          <w:numId w:val="5"/>
        </w:numPr>
        <w:snapToGrid w:val="0"/>
        <w:spacing w:before="240" w:after="0" w:line="360" w:lineRule="auto"/>
        <w:jc w:val="both"/>
        <w:rPr>
          <w:rFonts w:ascii="Calibri" w:hAnsi="Calibri" w:cs="Calibri"/>
        </w:rPr>
      </w:pPr>
      <w:r>
        <w:rPr>
          <w:rFonts w:ascii="Calibri" w:hAnsi="Calibri" w:cs="Calibri"/>
        </w:rPr>
        <w:lastRenderedPageBreak/>
        <w:t xml:space="preserve">Η Τράπεζα Διακανονισμού οφείλει να προβαίνει στο άνοιγμα και την τήρηση των ως άνω υπολογαριασμών κατά τους παρόντες Ειδικούς Όρους. Η Τράπεζα ευθύνεται για την έγκαιρη και ορθή διαβίβαση στο TARGET2-GR των εντολών πληρωμής που λαμβάνει από τα Εκκαθαριστικά Μέλη ως και για την έγκαιρη και ορθή καταβολή στα Εκκαθαριστικά Μέλη των πληρωμών που λαμβάνει για αυτά μέσω του TARGET2-GR. Ευθύνεται επίσης για την πληρότητα, ορθότητα και ακρίβεια των στοιχείων, κινήσεων και υπολοίπων των ως άνω υπολογαριασμών που παρέχει στα Εκκαθαριστικά Μέλη σύμφωνα με τους παρόντες Ειδικούς Όρους. </w:t>
      </w:r>
    </w:p>
    <w:p w14:paraId="78BC84E5" w14:textId="77777777" w:rsidR="00714A71" w:rsidRDefault="00714A71" w:rsidP="00A275FD">
      <w:pPr>
        <w:numPr>
          <w:ilvl w:val="0"/>
          <w:numId w:val="5"/>
        </w:numPr>
        <w:snapToGrid w:val="0"/>
        <w:spacing w:before="240" w:after="0" w:line="360" w:lineRule="auto"/>
        <w:jc w:val="both"/>
        <w:rPr>
          <w:rFonts w:ascii="Calibri" w:hAnsi="Calibri" w:cs="Calibri"/>
        </w:rPr>
      </w:pPr>
      <w:r>
        <w:rPr>
          <w:rFonts w:ascii="Calibri" w:hAnsi="Calibri" w:cs="Calibri"/>
        </w:rPr>
        <w:t xml:space="preserve"> Η Τράπεζα Διακανονισμού δεν επιτρέπεται να προβεί στο κλείσιμο υπολογαριασμού που τηρεί στο TARGET2-GR για Εκκαθαριστικό Μέλος, εάν δεν έχει προηγουμένως ανοιχθεί νέος υπολογαριασμός για το Εκκαθαριστικό Μέλος από άλλη Τράπεζα Διακανονισμού ή από το ίδιο το Εκκαθαριστικό Μέλος, εφόσον ενεργεί ως Τράπεζα Διακανονισμού. Κλείσιμο υπολογαριασμού δύναται να λάβει χώρα άμεσα μόνο σε περίπτωση απώλειας της ιδιότητας του Εκκαθαριστικού Μέλους κατόπιν σχετικής ενημέρωσης της Τράπεζας Διακανονισμού από την EnExClear. Σε κάθε περίπτωση, για το κλείσιμο υπολογαριασμού η Τράπεζα Διακανονισμού οφείλει να συμπληρώνει κατάλληλα την τυποποιημένη δήλωση «TARGET2 form collection of Static Data - Sub Account for dedicated liquidity -» (Έντυπο 1014) και να την υποβάλει στην Τράπεζα της Ελλάδος η ίδια, γνωστοποιώντας αντίγραφό της στην EnExClear, ή μέσω της EnExClear σύμφωνα με τις διαδικασίες της EnExClear. </w:t>
      </w:r>
    </w:p>
    <w:p w14:paraId="73433881" w14:textId="77777777" w:rsidR="00714A71" w:rsidRDefault="00714A71" w:rsidP="00A275FD">
      <w:pPr>
        <w:numPr>
          <w:ilvl w:val="0"/>
          <w:numId w:val="5"/>
        </w:numPr>
        <w:snapToGrid w:val="0"/>
        <w:spacing w:before="240" w:after="0" w:line="360" w:lineRule="auto"/>
        <w:jc w:val="both"/>
        <w:rPr>
          <w:rFonts w:ascii="Calibri" w:hAnsi="Calibri" w:cs="Calibri"/>
        </w:rPr>
      </w:pPr>
      <w:r>
        <w:rPr>
          <w:rFonts w:ascii="Calibri" w:hAnsi="Calibri" w:cs="Calibri"/>
        </w:rPr>
        <w:t xml:space="preserve">Η Τράπεζα Διακανονισμού δεν επιτρέπεται να μεταβιβάζει σε τρίτους δικαιώματα ή υποχρεώσεις της έναντι του Εκκαθαριστικού Μέλους απορρέουσες από την ιδιότητά της ως Τράπεζας Διακανονισμού σύμφωνα με τον Κανονισμό TARGET2-GR και τους παρόντες Ειδικούς Όρους. Στην απαγόρευση αυτή δε συμπεριλαμβάνεται η για οποιοδήποτε λόγο ή αιτία απορρόφησή της συνεπεία εταιρικού μετασχηματισμού (όπως ιδίως συγχώνευσης ή εξαγοράς της από άλλη τράπεζα). </w:t>
      </w:r>
    </w:p>
    <w:p w14:paraId="74DB9BAE" w14:textId="77777777" w:rsidR="00714A71" w:rsidRDefault="00714A71" w:rsidP="00A275FD">
      <w:pPr>
        <w:numPr>
          <w:ilvl w:val="0"/>
          <w:numId w:val="5"/>
        </w:numPr>
        <w:snapToGrid w:val="0"/>
        <w:spacing w:before="240" w:after="0" w:line="360" w:lineRule="auto"/>
        <w:jc w:val="both"/>
        <w:rPr>
          <w:rFonts w:ascii="Calibri" w:hAnsi="Calibri" w:cs="Calibri"/>
        </w:rPr>
      </w:pPr>
      <w:r>
        <w:rPr>
          <w:rFonts w:ascii="Calibri" w:hAnsi="Calibri" w:cs="Calibri"/>
        </w:rPr>
        <w:t xml:space="preserve">Παραίτηση της Τράπεζας Διακανονισμού από την παροχή σχετικών υπηρεσιών Τράπεζας Διακανονισμού στο Επικουρικό Σύστημα της EnExClear επιτρέπεται εφόσον γνωστοποιηθεί αυτή εγγράφως στην EnExClear και συνιστά και καταγγελία όλων των πάσης φύσεως συμφωνιών που έχει συνάψει η Τράπεζα Διακανονισμού υπό την ιδιότητα αυτή με την EnExClear. Τα αποτελέσματα της παραίτησης (και καταγγελίας) επέρχονται μετά πάροδο προθεσμίας τριάντα (30) ημερών από την ως άνω γνωστοποίηση με την επιφύλαξη των ειδικότερα οριζόμενων παρακάτω: </w:t>
      </w:r>
    </w:p>
    <w:p w14:paraId="27F054EE" w14:textId="77777777" w:rsidR="00714A71" w:rsidRDefault="00714A71" w:rsidP="00A275FD">
      <w:pPr>
        <w:numPr>
          <w:ilvl w:val="1"/>
          <w:numId w:val="7"/>
        </w:numPr>
        <w:snapToGrid w:val="0"/>
        <w:spacing w:before="240" w:after="0" w:line="360" w:lineRule="auto"/>
        <w:jc w:val="both"/>
        <w:rPr>
          <w:rFonts w:ascii="Calibri" w:hAnsi="Calibri" w:cs="Calibri"/>
          <w:b/>
        </w:rPr>
      </w:pPr>
      <w:r>
        <w:rPr>
          <w:rFonts w:ascii="Calibri" w:hAnsi="Calibri" w:cs="Calibri"/>
        </w:rPr>
        <w:lastRenderedPageBreak/>
        <w:t xml:space="preserve">Η παραίτηση ισχύει με τον όρο ότι η Τράπεζα Διακανονισμού έχει τακτοποιήσει εντός της τιθέμενης ως άνω προθεσμίας κάθε εκκρεμότητα ή οφειλή της έναντι της </w:t>
      </w:r>
      <w:r>
        <w:rPr>
          <w:rFonts w:ascii="Calibri" w:hAnsi="Calibri" w:cs="Calibri"/>
          <w:lang w:val="x-none"/>
        </w:rPr>
        <w:t>EnExClear</w:t>
      </w:r>
      <w:r>
        <w:rPr>
          <w:rFonts w:ascii="Calibri" w:hAnsi="Calibri" w:cs="Calibri"/>
        </w:rPr>
        <w:t xml:space="preserve"> και ότι τα Εκκαθαριστικά Μέλη προς τα οποία παρέχει υπηρεσίες έχουν μεριμνήσει, ώστε να διαθέτουν τους απαραίτητους υπολογαριασμούς σε άλλες Τράπεζες Διακανονισμού κατά τα προβλεπόμενα στον Κανονισμό </w:t>
      </w:r>
      <w:r>
        <w:rPr>
          <w:rFonts w:ascii="Calibri" w:hAnsi="Calibri" w:cs="Calibri"/>
          <w:lang w:val="en-US"/>
        </w:rPr>
        <w:t>TARGET</w:t>
      </w:r>
      <w:r>
        <w:rPr>
          <w:rFonts w:ascii="Calibri" w:hAnsi="Calibri" w:cs="Calibri"/>
        </w:rPr>
        <w:t>2-</w:t>
      </w:r>
      <w:r>
        <w:rPr>
          <w:rFonts w:ascii="Calibri" w:hAnsi="Calibri" w:cs="Calibri"/>
          <w:lang w:val="en-US"/>
        </w:rPr>
        <w:t>GR</w:t>
      </w:r>
      <w:r>
        <w:rPr>
          <w:rFonts w:ascii="Calibri" w:hAnsi="Calibri" w:cs="Calibri"/>
        </w:rPr>
        <w:t xml:space="preserve"> και τις διαδικασίες της </w:t>
      </w:r>
      <w:r>
        <w:rPr>
          <w:rFonts w:ascii="Calibri" w:hAnsi="Calibri" w:cs="Calibri"/>
          <w:lang w:val="x-none"/>
        </w:rPr>
        <w:t>EnExClear</w:t>
      </w:r>
      <w:r>
        <w:rPr>
          <w:rFonts w:ascii="Calibri" w:hAnsi="Calibri" w:cs="Calibri"/>
        </w:rPr>
        <w:t xml:space="preserve">. Η </w:t>
      </w:r>
      <w:r>
        <w:rPr>
          <w:rFonts w:ascii="Calibri" w:hAnsi="Calibri" w:cs="Calibri"/>
          <w:lang w:val="x-none"/>
        </w:rPr>
        <w:t>EnExClear</w:t>
      </w:r>
      <w:r>
        <w:rPr>
          <w:rFonts w:ascii="Calibri" w:hAnsi="Calibri" w:cs="Calibri"/>
        </w:rPr>
        <w:t xml:space="preserve"> μπορεί να τάξει μακρύτερη προθεσμία, εάν τούτο επιβάλλεται για την εκπλήρωση των ως άνω υποχρεώσεων της υπό παραίτηση Τράπεζας Διακανονισμού ή και την προστασία των συστημάτων εκκαθάρισης ή διακανονισμού που συνδέονται με την </w:t>
      </w:r>
      <w:r>
        <w:rPr>
          <w:rFonts w:ascii="Calibri" w:hAnsi="Calibri" w:cs="Calibri"/>
          <w:lang w:val="x-none"/>
        </w:rPr>
        <w:t>EnExClear</w:t>
      </w:r>
      <w:r>
        <w:rPr>
          <w:rFonts w:ascii="Calibri" w:hAnsi="Calibri" w:cs="Calibri"/>
        </w:rPr>
        <w:t>. Σε περίπτωση μεγαλύτερης προθεσμίας, η ημερομηνία της παραίτησης και των αποτελεσμάτων της παρατείνονται αντίστοιχα.</w:t>
      </w:r>
    </w:p>
    <w:p w14:paraId="49F6E588" w14:textId="77777777" w:rsidR="00714A71" w:rsidRDefault="00714A71" w:rsidP="00A275FD">
      <w:pPr>
        <w:numPr>
          <w:ilvl w:val="1"/>
          <w:numId w:val="7"/>
        </w:numPr>
        <w:snapToGrid w:val="0"/>
        <w:spacing w:before="240" w:after="0" w:line="360" w:lineRule="auto"/>
        <w:jc w:val="both"/>
        <w:rPr>
          <w:rFonts w:ascii="Calibri" w:hAnsi="Calibri" w:cs="Calibri"/>
        </w:rPr>
      </w:pPr>
      <w:r>
        <w:rPr>
          <w:rFonts w:ascii="Calibri" w:hAnsi="Calibri" w:cs="Calibri"/>
        </w:rPr>
        <w:t xml:space="preserve">Με την πλήρωση των υπό 6.1 προϋποθέσεων, η </w:t>
      </w:r>
      <w:r>
        <w:rPr>
          <w:rFonts w:ascii="Calibri" w:hAnsi="Calibri" w:cs="Calibri"/>
          <w:lang w:val="x-none"/>
        </w:rPr>
        <w:t>EnExClear</w:t>
      </w:r>
      <w:r>
        <w:rPr>
          <w:rFonts w:ascii="Calibri" w:hAnsi="Calibri" w:cs="Calibri"/>
        </w:rPr>
        <w:t xml:space="preserve"> κάνει αποδεκτή την παραίτηση και ενημερώνει σχετικά την Τράπεζα Διακανονισμού. Σε περίπτωση μη αποδοχής της παραίτησης, παρέχει αιτιολογημένη απάντηση.</w:t>
      </w:r>
    </w:p>
    <w:p w14:paraId="1FD07FA7" w14:textId="77777777" w:rsidR="00714A71" w:rsidRDefault="00714A71" w:rsidP="00A275FD">
      <w:pPr>
        <w:spacing w:line="360" w:lineRule="auto"/>
        <w:jc w:val="both"/>
        <w:rPr>
          <w:rFonts w:ascii="Calibri" w:hAnsi="Calibri" w:cs="Calibri"/>
        </w:rPr>
      </w:pPr>
    </w:p>
    <w:p w14:paraId="1CBDFD11" w14:textId="3B2F9D23" w:rsidR="00714A71" w:rsidRDefault="00144F96" w:rsidP="00714A71">
      <w:pPr>
        <w:tabs>
          <w:tab w:val="num" w:pos="1260"/>
        </w:tabs>
        <w:spacing w:before="120" w:after="120" w:line="360" w:lineRule="auto"/>
        <w:jc w:val="both"/>
        <w:rPr>
          <w:rFonts w:cstheme="minorHAnsi"/>
          <w:b/>
          <w:sz w:val="20"/>
          <w:szCs w:val="20"/>
          <w:lang w:val="en-US"/>
        </w:rPr>
      </w:pPr>
      <w:r w:rsidRPr="00144F96">
        <w:rPr>
          <w:rFonts w:cstheme="minorHAnsi"/>
          <w:b/>
          <w:bCs/>
          <w:i/>
          <w:iCs/>
          <w:noProof/>
        </w:rPr>
        <mc:AlternateContent>
          <mc:Choice Requires="wps">
            <w:drawing>
              <wp:anchor distT="45720" distB="45720" distL="114300" distR="114300" simplePos="0" relativeHeight="251659264" behindDoc="0" locked="0" layoutInCell="1" allowOverlap="1" wp14:anchorId="74B471BD" wp14:editId="32EC2A30">
                <wp:simplePos x="0" y="0"/>
                <wp:positionH relativeFrom="margin">
                  <wp:align>right</wp:align>
                </wp:positionH>
                <wp:positionV relativeFrom="paragraph">
                  <wp:posOffset>244475</wp:posOffset>
                </wp:positionV>
                <wp:extent cx="5737860" cy="716280"/>
                <wp:effectExtent l="0" t="0" r="0" b="762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716280"/>
                        </a:xfrm>
                        <a:prstGeom prst="rect">
                          <a:avLst/>
                        </a:prstGeom>
                        <a:solidFill>
                          <a:srgbClr val="4472C4">
                            <a:lumMod val="20000"/>
                            <a:lumOff val="80000"/>
                          </a:srgbClr>
                        </a:solidFill>
                        <a:ln w="9525">
                          <a:noFill/>
                          <a:miter lim="800000"/>
                          <a:headEnd/>
                          <a:tailEnd/>
                        </a:ln>
                      </wps:spPr>
                      <wps:txbx>
                        <w:txbxContent>
                          <w:tbl>
                            <w:tblPr>
                              <w:tblStyle w:val="TableGrid"/>
                              <w:tblW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tblGrid>
                            <w:tr w:rsidR="00144F96" w:rsidRPr="006C7BD1" w14:paraId="4E56DC7E" w14:textId="77777777" w:rsidTr="00B45281">
                              <w:trPr>
                                <w:trHeight w:val="617"/>
                              </w:trPr>
                              <w:tc>
                                <w:tcPr>
                                  <w:tcW w:w="3823" w:type="dxa"/>
                                </w:tcPr>
                                <w:p w14:paraId="018B0BF8" w14:textId="77777777" w:rsidR="00144F96" w:rsidRPr="006C7BD1" w:rsidRDefault="00144F96" w:rsidP="006C7BD1">
                                  <w:pPr>
                                    <w:spacing w:after="240" w:line="360" w:lineRule="auto"/>
                                    <w:rPr>
                                      <w:color w:val="FFFFFF" w:themeColor="background1"/>
                                      <w:lang w:val="en-US"/>
                                      <w14:textFill>
                                        <w14:noFill/>
                                      </w14:textFill>
                                    </w:rPr>
                                  </w:pPr>
                                </w:p>
                              </w:tc>
                            </w:tr>
                          </w:tbl>
                          <w:p w14:paraId="7555BED7" w14:textId="77777777" w:rsidR="00144F96" w:rsidRPr="006C7BD1" w:rsidRDefault="00144F96" w:rsidP="00144F96">
                            <w:pPr>
                              <w:rPr>
                                <w:color w:val="FFFFFF" w:themeColor="background1"/>
                                <w:lang w:val="en-US"/>
                                <w14:textFill>
                                  <w14:noFill/>
                                </w14:textFil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B471BD" id="_x0000_t202" coordsize="21600,21600" o:spt="202" path="m,l,21600r21600,l21600,xe">
                <v:stroke joinstyle="miter"/>
                <v:path gradientshapeok="t" o:connecttype="rect"/>
              </v:shapetype>
              <v:shape id="Text Box 2" o:spid="_x0000_s1026" type="#_x0000_t202" style="position:absolute;left:0;text-align:left;margin-left:400.6pt;margin-top:19.25pt;width:451.8pt;height:56.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" fillcolor="#dae3f3" stroked="f">
                <v:textbox>
                  <w:txbxContent>
                    <w:tbl>
                      <w:tblPr>
                        <w:tblStyle w:val="TableGrid"/>
                        <w:tblW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tblGrid>
                      <w:tr w:rsidR="00144F96" w:rsidRPr="006C7BD1" w14:paraId="4E56DC7E" w14:textId="77777777" w:rsidTr="00B45281">
                        <w:trPr>
                          <w:trHeight w:val="617"/>
                        </w:trPr>
                        <w:tc>
                          <w:tcPr>
                            <w:tcW w:w="3823" w:type="dxa"/>
                          </w:tcPr>
                          <w:p w14:paraId="018B0BF8" w14:textId="77777777" w:rsidR="00144F96" w:rsidRPr="006C7BD1" w:rsidRDefault="00144F96" w:rsidP="006C7BD1">
                            <w:pPr>
                              <w:spacing w:after="240" w:line="360" w:lineRule="auto"/>
                              <w:rPr>
                                <w:color w:val="FFFFFF" w:themeColor="background1"/>
                                <w:lang w:val="en-US"/>
                                <w14:textFill>
                                  <w14:noFill/>
                                </w14:textFill>
                              </w:rPr>
                            </w:pPr>
                          </w:p>
                        </w:tc>
                      </w:tr>
                    </w:tbl>
                    <w:p w14:paraId="7555BED7" w14:textId="77777777" w:rsidR="00144F96" w:rsidRPr="006C7BD1" w:rsidRDefault="00144F96" w:rsidP="00144F96">
                      <w:pPr>
                        <w:rPr>
                          <w:color w:val="FFFFFF" w:themeColor="background1"/>
                          <w:lang w:val="en-US"/>
                          <w14:textFill>
                            <w14:noFill/>
                          </w14:textFill>
                        </w:rPr>
                      </w:pPr>
                    </w:p>
                  </w:txbxContent>
                </v:textbox>
                <w10:wrap type="square" anchorx="margin"/>
              </v:shape>
            </w:pict>
          </mc:Fallback>
        </mc:AlternateContent>
      </w:r>
      <w:r w:rsidR="00714A71" w:rsidRPr="00714A71">
        <w:rPr>
          <w:rFonts w:cstheme="minorHAnsi"/>
          <w:b/>
          <w:sz w:val="20"/>
          <w:szCs w:val="20"/>
          <w:lang w:val="en-GB"/>
        </w:rPr>
        <w:t>Για την Τράπεζα Διακανονισμού</w:t>
      </w:r>
      <w:r>
        <w:rPr>
          <w:rFonts w:cstheme="minorHAnsi"/>
          <w:b/>
          <w:sz w:val="20"/>
          <w:szCs w:val="20"/>
          <w:lang w:val="en-US"/>
        </w:rPr>
        <w:t>:</w:t>
      </w:r>
    </w:p>
    <w:p w14:paraId="15DA3268" w14:textId="60626F58" w:rsidR="00714A71" w:rsidRPr="00714A71" w:rsidRDefault="00714A71" w:rsidP="00714A71">
      <w:pPr>
        <w:spacing w:before="120" w:after="120" w:line="360" w:lineRule="auto"/>
        <w:jc w:val="both"/>
        <w:rPr>
          <w:rFonts w:cstheme="minorHAnsi"/>
          <w:i/>
          <w:sz w:val="20"/>
          <w:szCs w:val="20"/>
        </w:rPr>
      </w:pPr>
      <w:r w:rsidRPr="00714A71">
        <w:rPr>
          <w:rFonts w:cstheme="minorHAnsi"/>
          <w:i/>
          <w:sz w:val="20"/>
          <w:szCs w:val="20"/>
        </w:rPr>
        <w:t xml:space="preserve">(συμπληρώνεται η πλήρης επωνυμία του νομικού προσώπου και τίθεται το όνομα &amp; η υπογραφή του </w:t>
      </w:r>
      <w:r w:rsidR="00144F96" w:rsidRPr="00714A71">
        <w:rPr>
          <w:rFonts w:cstheme="minorHAnsi"/>
          <w:i/>
          <w:sz w:val="20"/>
          <w:szCs w:val="20"/>
        </w:rPr>
        <w:t>νόμιμου</w:t>
      </w:r>
      <w:r w:rsidRPr="00714A71">
        <w:rPr>
          <w:rFonts w:cstheme="minorHAnsi"/>
          <w:i/>
          <w:sz w:val="20"/>
          <w:szCs w:val="20"/>
        </w:rPr>
        <w:t xml:space="preserve"> εκπροσώπου του) </w:t>
      </w:r>
    </w:p>
    <w:p w14:paraId="37C50427" w14:textId="77777777" w:rsidR="008944D0" w:rsidRPr="00714A71" w:rsidRDefault="008944D0" w:rsidP="009A16DA">
      <w:pPr>
        <w:tabs>
          <w:tab w:val="num" w:pos="1260"/>
        </w:tabs>
        <w:spacing w:before="120" w:after="120" w:line="360" w:lineRule="auto"/>
        <w:jc w:val="both"/>
        <w:rPr>
          <w:rFonts w:cstheme="minorHAnsi"/>
          <w:sz w:val="20"/>
          <w:szCs w:val="20"/>
        </w:rPr>
      </w:pPr>
    </w:p>
    <w:p w14:paraId="16DDD777" w14:textId="77777777" w:rsidR="009A16DA" w:rsidRPr="00144F96" w:rsidRDefault="009A16DA" w:rsidP="009A16DA">
      <w:pPr>
        <w:spacing w:before="120" w:after="120" w:line="360" w:lineRule="auto"/>
        <w:jc w:val="right"/>
        <w:rPr>
          <w:rFonts w:cstheme="minorHAnsi"/>
          <w:b/>
          <w:sz w:val="20"/>
          <w:szCs w:val="20"/>
        </w:rPr>
      </w:pPr>
    </w:p>
    <w:sectPr w:rsidR="009A16DA" w:rsidRPr="00144F96" w:rsidSect="002600C8">
      <w:headerReference w:type="default" r:id="rId8"/>
      <w:footerReference w:type="default" r:id="rId9"/>
      <w:pgSz w:w="11906" w:h="16838"/>
      <w:pgMar w:top="1793" w:right="1440" w:bottom="1440" w:left="1440"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B0B32" w14:textId="77777777" w:rsidR="0035570F" w:rsidRDefault="0035570F" w:rsidP="00D86DD0">
      <w:pPr>
        <w:spacing w:after="0" w:line="240" w:lineRule="auto"/>
      </w:pPr>
      <w:r>
        <w:separator/>
      </w:r>
    </w:p>
  </w:endnote>
  <w:endnote w:type="continuationSeparator" w:id="0">
    <w:p w14:paraId="3DB7A3B4" w14:textId="77777777" w:rsidR="0035570F" w:rsidRDefault="0035570F" w:rsidP="00D8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979238"/>
      <w:docPartObj>
        <w:docPartGallery w:val="Page Numbers (Bottom of Page)"/>
        <w:docPartUnique/>
      </w:docPartObj>
    </w:sdtPr>
    <w:sdtEndPr>
      <w:rPr>
        <w:noProof/>
      </w:rPr>
    </w:sdtEndPr>
    <w:sdtContent>
      <w:p w14:paraId="09840B6C" w14:textId="147187BD" w:rsidR="00D7747B" w:rsidRDefault="00D7747B">
        <w:pPr>
          <w:pStyle w:val="Footer"/>
          <w:jc w:val="right"/>
        </w:pPr>
        <w:r>
          <w:fldChar w:fldCharType="begin"/>
        </w:r>
        <w:r>
          <w:instrText xml:space="preserve"> PAGE   \* MERGEFORMAT </w:instrText>
        </w:r>
        <w:r>
          <w:fldChar w:fldCharType="separate"/>
        </w:r>
        <w:r w:rsidR="004D0141">
          <w:rPr>
            <w:noProof/>
          </w:rPr>
          <w:t>1</w:t>
        </w:r>
        <w:r>
          <w:rPr>
            <w:noProof/>
          </w:rPr>
          <w:fldChar w:fldCharType="end"/>
        </w:r>
      </w:p>
    </w:sdtContent>
  </w:sdt>
  <w:p w14:paraId="29B6DE91" w14:textId="77777777" w:rsidR="00D86DD0" w:rsidRDefault="00D86D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6D801" w14:textId="77777777" w:rsidR="0035570F" w:rsidRDefault="0035570F" w:rsidP="00D86DD0">
      <w:pPr>
        <w:spacing w:after="0" w:line="240" w:lineRule="auto"/>
      </w:pPr>
      <w:r>
        <w:separator/>
      </w:r>
    </w:p>
  </w:footnote>
  <w:footnote w:type="continuationSeparator" w:id="0">
    <w:p w14:paraId="03118D99" w14:textId="77777777" w:rsidR="0035570F" w:rsidRDefault="0035570F" w:rsidP="00D86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E8F5D" w14:textId="4D68FCDC" w:rsidR="003B5651" w:rsidRPr="00D3065A" w:rsidRDefault="00714A71" w:rsidP="003B5651">
    <w:pPr>
      <w:spacing w:before="120"/>
      <w:jc w:val="right"/>
      <w:rPr>
        <w:rFonts w:ascii="Calibri" w:eastAsia="Calibri" w:hAnsi="Calibri" w:cs="Arial"/>
        <w:b/>
        <w:bCs/>
        <w:i/>
        <w:sz w:val="20"/>
      </w:rPr>
    </w:pPr>
    <w:r w:rsidRPr="009334B6">
      <w:rPr>
        <w:rFonts w:ascii="Calibri" w:eastAsia="Calibri" w:hAnsi="Calibri" w:cs="Arial"/>
        <w:b/>
        <w:bCs/>
        <w:i/>
        <w:sz w:val="20"/>
      </w:rPr>
      <w:t>Έντυπο</w:t>
    </w:r>
    <w:r w:rsidR="009334B6" w:rsidRPr="009334B6">
      <w:rPr>
        <w:rFonts w:ascii="Calibri" w:eastAsia="Calibri" w:hAnsi="Calibri" w:cs="Arial"/>
        <w:b/>
        <w:bCs/>
        <w:i/>
        <w:sz w:val="20"/>
        <w:lang w:val="en-US"/>
      </w:rPr>
      <w:t xml:space="preserve"> CL</w:t>
    </w:r>
    <w:r w:rsidR="00D3065A">
      <w:rPr>
        <w:rFonts w:ascii="Calibri" w:eastAsia="Calibri" w:hAnsi="Calibri" w:cs="Arial"/>
        <w:b/>
        <w:bCs/>
        <w:i/>
        <w:sz w:val="20"/>
      </w:rPr>
      <w:t>1</w:t>
    </w:r>
    <w:r w:rsidR="009334B6" w:rsidRPr="009334B6">
      <w:rPr>
        <w:rFonts w:ascii="Calibri" w:eastAsia="Calibri" w:hAnsi="Calibri" w:cs="Arial"/>
        <w:b/>
        <w:bCs/>
        <w:i/>
        <w:sz w:val="20"/>
        <w:lang w:val="en-US"/>
      </w:rPr>
      <w:t>5-1</w:t>
    </w:r>
    <w:r w:rsidR="003B5651" w:rsidRPr="009334B6">
      <w:rPr>
        <w:rFonts w:ascii="Calibri" w:eastAsia="Calibri" w:hAnsi="Calibri" w:cs="Arial"/>
        <w:b/>
        <w:bCs/>
        <w:i/>
        <w:sz w:val="20"/>
      </w:rPr>
      <w:t xml:space="preserve"> _</w:t>
    </w:r>
    <w:r w:rsidR="003B5651" w:rsidRPr="002416DC">
      <w:rPr>
        <w:rFonts w:ascii="Calibri" w:eastAsia="Calibri" w:hAnsi="Calibri" w:cs="Arial"/>
        <w:b/>
        <w:bCs/>
        <w:i/>
        <w:sz w:val="20"/>
      </w:rPr>
      <w:t>v.1</w:t>
    </w:r>
    <w:r w:rsidR="00D3065A">
      <w:rPr>
        <w:rFonts w:ascii="Calibri" w:eastAsia="Calibri" w:hAnsi="Calibri" w:cs="Arial"/>
        <w:b/>
        <w:bCs/>
        <w:i/>
        <w:sz w:val="20"/>
      </w:rPr>
      <w:t>.0</w:t>
    </w:r>
  </w:p>
  <w:p w14:paraId="61AA64E3" w14:textId="27F6278A" w:rsidR="00D86DD0" w:rsidRPr="00E9225C" w:rsidRDefault="002600C8" w:rsidP="00E9225C">
    <w:pPr>
      <w:pStyle w:val="Header"/>
      <w:jc w:val="center"/>
    </w:pPr>
    <w:r>
      <w:rPr>
        <w:noProof/>
      </w:rPr>
      <w:drawing>
        <wp:inline distT="0" distB="0" distL="0" distR="0" wp14:anchorId="2957B286" wp14:editId="24688CE8">
          <wp:extent cx="1771650" cy="958215"/>
          <wp:effectExtent l="0" t="0" r="0" b="0"/>
          <wp:docPr id="11" name="Picture 11" descr="\\enxfsrv\Data\Mkt_Dev\Presentation\Logos\henex_enex.clear-transparent-05.png"/>
          <wp:cNvGraphicFramePr/>
          <a:graphic xmlns:a="http://schemas.openxmlformats.org/drawingml/2006/main">
            <a:graphicData uri="http://schemas.openxmlformats.org/drawingml/2006/picture">
              <pic:pic xmlns:pic="http://schemas.openxmlformats.org/drawingml/2006/picture">
                <pic:nvPicPr>
                  <pic:cNvPr id="10" name="Picture 10" descr="\\enxfsrv\Data\Mkt_Dev\Presentation\Logos\henex_enex.clear-transparent-05.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71650" cy="9582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B083E"/>
    <w:multiLevelType w:val="multilevel"/>
    <w:tmpl w:val="100E2508"/>
    <w:lvl w:ilvl="0">
      <w:start w:val="1"/>
      <w:numFmt w:val="decimal"/>
      <w:lvlText w:val="%1."/>
      <w:lvlJc w:val="left"/>
      <w:pPr>
        <w:tabs>
          <w:tab w:val="num" w:pos="360"/>
        </w:tabs>
        <w:ind w:left="360" w:hanging="360"/>
      </w:pPr>
      <w:rPr>
        <w:b/>
        <w:bCs/>
      </w:rPr>
    </w:lvl>
    <w:lvl w:ilvl="1">
      <w:start w:val="6"/>
      <w:numFmt w:val="decimal"/>
      <w:isLgl/>
      <w:lvlText w:val="%1.%2"/>
      <w:lvlJc w:val="left"/>
      <w:pPr>
        <w:ind w:left="525" w:hanging="525"/>
      </w:pPr>
    </w:lvl>
    <w:lvl w:ilvl="2">
      <w:start w:val="2"/>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 w15:restartNumberingAfterBreak="0">
    <w:nsid w:val="3EE21CC7"/>
    <w:multiLevelType w:val="multilevel"/>
    <w:tmpl w:val="EE60A122"/>
    <w:lvl w:ilvl="0">
      <w:start w:val="5"/>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6.%2"/>
      <w:lvlJc w:val="left"/>
      <w:pPr>
        <w:tabs>
          <w:tab w:val="num" w:pos="720"/>
        </w:tabs>
        <w:ind w:left="720" w:hanging="360"/>
      </w:pPr>
      <w:rPr>
        <w:rFonts w:asciiTheme="minorHAnsi" w:hAnsiTheme="minorHAnsi" w:cs="Arial" w:hint="default"/>
        <w:b/>
        <w:bCs/>
        <w:sz w:val="22"/>
        <w:szCs w:val="22"/>
      </w:rPr>
    </w:lvl>
    <w:lvl w:ilvl="2">
      <w:start w:val="1"/>
      <w:numFmt w:val="decimal"/>
      <w:lvlText w:val="%1.%2.%3"/>
      <w:lvlJc w:val="left"/>
      <w:pPr>
        <w:tabs>
          <w:tab w:val="num" w:pos="1440"/>
        </w:tabs>
        <w:ind w:left="1440" w:hanging="720"/>
      </w:pPr>
      <w:rPr>
        <w:rFonts w:ascii="Times New Roman" w:hAnsi="Times New Roman" w:cs="Times New Roman" w:hint="default"/>
        <w:sz w:val="24"/>
      </w:rPr>
    </w:lvl>
    <w:lvl w:ilvl="3">
      <w:start w:val="1"/>
      <w:numFmt w:val="decimal"/>
      <w:lvlText w:val="%1.%2.%3.%4"/>
      <w:lvlJc w:val="left"/>
      <w:pPr>
        <w:tabs>
          <w:tab w:val="num" w:pos="1800"/>
        </w:tabs>
        <w:ind w:left="1800" w:hanging="720"/>
      </w:pPr>
      <w:rPr>
        <w:rFonts w:ascii="Times New Roman" w:hAnsi="Times New Roman" w:cs="Times New Roman" w:hint="default"/>
        <w:sz w:val="24"/>
      </w:rPr>
    </w:lvl>
    <w:lvl w:ilvl="4">
      <w:start w:val="1"/>
      <w:numFmt w:val="decimal"/>
      <w:lvlText w:val="%1.%2.%3.%4.%5"/>
      <w:lvlJc w:val="left"/>
      <w:pPr>
        <w:tabs>
          <w:tab w:val="num" w:pos="2520"/>
        </w:tabs>
        <w:ind w:left="2520" w:hanging="1080"/>
      </w:pPr>
      <w:rPr>
        <w:rFonts w:ascii="Times New Roman" w:hAnsi="Times New Roman" w:cs="Times New Roman" w:hint="default"/>
        <w:sz w:val="24"/>
      </w:rPr>
    </w:lvl>
    <w:lvl w:ilvl="5">
      <w:start w:val="1"/>
      <w:numFmt w:val="decimal"/>
      <w:lvlText w:val="%1.%2.%3.%4.%5.%6"/>
      <w:lvlJc w:val="left"/>
      <w:pPr>
        <w:tabs>
          <w:tab w:val="num" w:pos="2880"/>
        </w:tabs>
        <w:ind w:left="2880" w:hanging="1080"/>
      </w:pPr>
      <w:rPr>
        <w:rFonts w:ascii="Times New Roman" w:hAnsi="Times New Roman" w:cs="Times New Roman" w:hint="default"/>
        <w:sz w:val="24"/>
      </w:rPr>
    </w:lvl>
    <w:lvl w:ilvl="6">
      <w:start w:val="1"/>
      <w:numFmt w:val="decimal"/>
      <w:lvlText w:val="%1.%2.%3.%4.%5.%6.%7"/>
      <w:lvlJc w:val="left"/>
      <w:pPr>
        <w:tabs>
          <w:tab w:val="num" w:pos="3600"/>
        </w:tabs>
        <w:ind w:left="3600" w:hanging="1440"/>
      </w:pPr>
      <w:rPr>
        <w:rFonts w:ascii="Times New Roman" w:hAnsi="Times New Roman" w:cs="Times New Roman" w:hint="default"/>
        <w:sz w:val="24"/>
      </w:rPr>
    </w:lvl>
    <w:lvl w:ilvl="7">
      <w:start w:val="1"/>
      <w:numFmt w:val="decimal"/>
      <w:lvlText w:val="%1.%2.%3.%4.%5.%6.%7.%8"/>
      <w:lvlJc w:val="left"/>
      <w:pPr>
        <w:tabs>
          <w:tab w:val="num" w:pos="3960"/>
        </w:tabs>
        <w:ind w:left="3960" w:hanging="1440"/>
      </w:pPr>
      <w:rPr>
        <w:rFonts w:ascii="Times New Roman" w:hAnsi="Times New Roman" w:cs="Times New Roman" w:hint="default"/>
        <w:sz w:val="24"/>
      </w:rPr>
    </w:lvl>
    <w:lvl w:ilvl="8">
      <w:start w:val="1"/>
      <w:numFmt w:val="decimal"/>
      <w:lvlText w:val="%1.%2.%3.%4.%5.%6.%7.%8.%9"/>
      <w:lvlJc w:val="left"/>
      <w:pPr>
        <w:tabs>
          <w:tab w:val="num" w:pos="4680"/>
        </w:tabs>
        <w:ind w:left="4680" w:hanging="1800"/>
      </w:pPr>
      <w:rPr>
        <w:rFonts w:ascii="Times New Roman" w:hAnsi="Times New Roman" w:cs="Times New Roman" w:hint="default"/>
        <w:sz w:val="24"/>
      </w:rPr>
    </w:lvl>
  </w:abstractNum>
  <w:abstractNum w:abstractNumId="2" w15:restartNumberingAfterBreak="0">
    <w:nsid w:val="583E1723"/>
    <w:multiLevelType w:val="hybridMultilevel"/>
    <w:tmpl w:val="BD6C8B88"/>
    <w:lvl w:ilvl="0" w:tplc="75C8FDE6">
      <w:start w:val="1"/>
      <w:numFmt w:val="decimal"/>
      <w:lvlText w:val="%1)"/>
      <w:lvlJc w:val="left"/>
      <w:pPr>
        <w:tabs>
          <w:tab w:val="num" w:pos="720"/>
        </w:tabs>
        <w:ind w:left="720" w:hanging="360"/>
      </w:pPr>
      <w:rPr>
        <w:b w:val="0"/>
      </w:rPr>
    </w:lvl>
    <w:lvl w:ilvl="1" w:tplc="42623052">
      <w:start w:val="1"/>
      <w:numFmt w:val="decimal"/>
      <w:lvlText w:val="%2."/>
      <w:lvlJc w:val="left"/>
      <w:pPr>
        <w:tabs>
          <w:tab w:val="num" w:pos="720"/>
        </w:tabs>
        <w:ind w:left="720" w:hanging="360"/>
      </w:pPr>
      <w:rPr>
        <w:b/>
        <w:i w:val="0"/>
      </w:rPr>
    </w:lvl>
    <w:lvl w:ilvl="2" w:tplc="0408001B">
      <w:start w:val="1"/>
      <w:numFmt w:val="lowerRoman"/>
      <w:lvlText w:val="%3."/>
      <w:lvlJc w:val="right"/>
      <w:pPr>
        <w:tabs>
          <w:tab w:val="num" w:pos="2160"/>
        </w:tabs>
        <w:ind w:left="2160" w:hanging="180"/>
      </w:pPr>
    </w:lvl>
    <w:lvl w:ilvl="3" w:tplc="395E59E4">
      <w:start w:val="1"/>
      <w:numFmt w:val="lowerRoman"/>
      <w:lvlText w:val="%4)"/>
      <w:lvlJc w:val="left"/>
      <w:pPr>
        <w:ind w:left="3240" w:hanging="720"/>
      </w:pPr>
      <w:rPr>
        <w:sz w:val="22"/>
        <w:szCs w:val="22"/>
      </w:r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 w15:restartNumberingAfterBreak="0">
    <w:nsid w:val="6A3D0147"/>
    <w:multiLevelType w:val="multilevel"/>
    <w:tmpl w:val="2E2EEA9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7F675F2F"/>
    <w:multiLevelType w:val="multilevel"/>
    <w:tmpl w:val="B07AA834"/>
    <w:lvl w:ilvl="0">
      <w:start w:val="1"/>
      <w:numFmt w:val="decimal"/>
      <w:pStyle w:val="Heading1"/>
      <w:lvlText w:val="ΜΕΡΟΣ %1."/>
      <w:lvlJc w:val="left"/>
      <w:pPr>
        <w:ind w:left="432" w:hanging="432"/>
      </w:pPr>
      <w:rPr>
        <w:sz w:val="32"/>
      </w:rPr>
    </w:lvl>
    <w:lvl w:ilvl="1">
      <w:start w:val="1"/>
      <w:numFmt w:val="decimal"/>
      <w:pStyle w:val="Heading2"/>
      <w:lvlText w:val="Άρθρο %2."/>
      <w:lvlJc w:val="left"/>
      <w:pPr>
        <w:ind w:left="1285" w:hanging="576"/>
      </w:pPr>
      <w:rPr>
        <w:caps w:val="0"/>
        <w:color w:val="auto"/>
        <w:szCs w:val="28"/>
      </w:rPr>
    </w:lvl>
    <w:lvl w:ilvl="2">
      <w:start w:val="1"/>
      <w:numFmt w:val="decimal"/>
      <w:pStyle w:val="Heading3"/>
      <w:lvlText w:val="%2.%3"/>
      <w:lvlJc w:val="left"/>
      <w:pPr>
        <w:ind w:left="720" w:hanging="720"/>
      </w:pPr>
    </w:lvl>
    <w:lvl w:ilvl="3">
      <w:start w:val="1"/>
      <w:numFmt w:val="decimal"/>
      <w:pStyle w:val="Heading4"/>
      <w:lvlText w:val="%2.%3.%4"/>
      <w:lvlJc w:val="left"/>
      <w:pPr>
        <w:ind w:left="1432" w:hanging="864"/>
      </w:pPr>
    </w:lvl>
    <w:lvl w:ilvl="4">
      <w:start w:val="1"/>
      <w:numFmt w:val="decimal"/>
      <w:pStyle w:val="Heading5"/>
      <w:lvlText w:val="%2.%3.%4.%5"/>
      <w:lvlJc w:val="left"/>
      <w:pPr>
        <w:ind w:left="1150" w:hanging="1008"/>
      </w:pPr>
    </w:lvl>
    <w:lvl w:ilvl="5">
      <w:start w:val="1"/>
      <w:numFmt w:val="decimal"/>
      <w:pStyle w:val="Heading6"/>
      <w:lvlText w:val="%2.%3.%4.%5.%6"/>
      <w:lvlJc w:val="left"/>
      <w:pPr>
        <w:ind w:left="1152" w:hanging="1152"/>
      </w:pPr>
    </w:lvl>
    <w:lvl w:ilvl="6">
      <w:start w:val="1"/>
      <w:numFmt w:val="decimal"/>
      <w:pStyle w:val="Heading7"/>
      <w:lvlText w:val="%7."/>
      <w:lvlJc w:val="left"/>
      <w:pPr>
        <w:tabs>
          <w:tab w:val="num" w:pos="425"/>
        </w:tabs>
        <w:ind w:left="425" w:hanging="425"/>
      </w:pPr>
      <w:rPr>
        <w:b w:val="0"/>
      </w:rPr>
    </w:lvl>
    <w:lvl w:ilvl="7">
      <w:start w:val="1"/>
      <w:numFmt w:val="decimal"/>
      <w:pStyle w:val="Heading8"/>
      <w:lvlText w:val="%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cumentProtection w:edit="forms" w:formatting="1" w:enforcement="1" w:cryptProviderType="rsaAES" w:cryptAlgorithmClass="hash" w:cryptAlgorithmType="typeAny" w:cryptAlgorithmSid="14" w:cryptSpinCount="100000" w:hash="q9OS1c1VRIljtqDoylx7jSWypw2eMrq7lt4b4ISAhmmuezrOjN+ubkdQUfHeufkQaUEcr42CdQrsSDnyJedF0g==" w:salt="NbqC3xRaBatkxBmie0i9L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D0"/>
    <w:rsid w:val="00040535"/>
    <w:rsid w:val="0007114A"/>
    <w:rsid w:val="000A785C"/>
    <w:rsid w:val="00144F96"/>
    <w:rsid w:val="00164604"/>
    <w:rsid w:val="00230EE7"/>
    <w:rsid w:val="002600C8"/>
    <w:rsid w:val="00316762"/>
    <w:rsid w:val="00334080"/>
    <w:rsid w:val="0035570F"/>
    <w:rsid w:val="003B5651"/>
    <w:rsid w:val="003F6BCF"/>
    <w:rsid w:val="0047108E"/>
    <w:rsid w:val="004876FE"/>
    <w:rsid w:val="004D0141"/>
    <w:rsid w:val="005031FC"/>
    <w:rsid w:val="00556797"/>
    <w:rsid w:val="00565DF5"/>
    <w:rsid w:val="005C0012"/>
    <w:rsid w:val="00682F6E"/>
    <w:rsid w:val="006E228C"/>
    <w:rsid w:val="006E27DC"/>
    <w:rsid w:val="00714A71"/>
    <w:rsid w:val="0075682A"/>
    <w:rsid w:val="007A1D36"/>
    <w:rsid w:val="007D0972"/>
    <w:rsid w:val="007D11C9"/>
    <w:rsid w:val="007F5B70"/>
    <w:rsid w:val="008521AD"/>
    <w:rsid w:val="008944D0"/>
    <w:rsid w:val="009334B6"/>
    <w:rsid w:val="00947446"/>
    <w:rsid w:val="009A16DA"/>
    <w:rsid w:val="009E004B"/>
    <w:rsid w:val="00A275FD"/>
    <w:rsid w:val="00B3054A"/>
    <w:rsid w:val="00B45281"/>
    <w:rsid w:val="00BC15B0"/>
    <w:rsid w:val="00BD4DC7"/>
    <w:rsid w:val="00C472B4"/>
    <w:rsid w:val="00C559C0"/>
    <w:rsid w:val="00C70C3D"/>
    <w:rsid w:val="00D3065A"/>
    <w:rsid w:val="00D7747B"/>
    <w:rsid w:val="00D86DD0"/>
    <w:rsid w:val="00E7341E"/>
    <w:rsid w:val="00E9225C"/>
    <w:rsid w:val="00EC725D"/>
    <w:rsid w:val="00EF1F96"/>
    <w:rsid w:val="00EF3719"/>
    <w:rsid w:val="00FA6331"/>
    <w:rsid w:val="00FF26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C640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DD0"/>
    <w:pPr>
      <w:spacing w:after="200" w:line="276" w:lineRule="auto"/>
    </w:pPr>
    <w:rPr>
      <w:rFonts w:eastAsiaTheme="minorEastAsia"/>
      <w:lang w:val="el-GR" w:eastAsia="el-GR"/>
    </w:rPr>
  </w:style>
  <w:style w:type="paragraph" w:styleId="Heading1">
    <w:name w:val="heading 1"/>
    <w:basedOn w:val="Normal"/>
    <w:next w:val="Normal"/>
    <w:link w:val="Heading1Char"/>
    <w:qFormat/>
    <w:rsid w:val="00714A71"/>
    <w:pPr>
      <w:keepNext/>
      <w:numPr>
        <w:numId w:val="3"/>
      </w:numPr>
      <w:snapToGrid w:val="0"/>
      <w:spacing w:before="480" w:after="360" w:line="240" w:lineRule="auto"/>
      <w:outlineLvl w:val="0"/>
    </w:pPr>
    <w:rPr>
      <w:rFonts w:asciiTheme="majorHAnsi" w:eastAsia="Times New Roman" w:hAnsiTheme="majorHAnsi" w:cs="Times New Roman"/>
      <w:b/>
      <w:bCs/>
      <w:sz w:val="32"/>
      <w:lang w:eastAsia="en-US"/>
    </w:rPr>
  </w:style>
  <w:style w:type="paragraph" w:styleId="Heading2">
    <w:name w:val="heading 2"/>
    <w:basedOn w:val="Normal"/>
    <w:next w:val="Normal"/>
    <w:link w:val="Heading2Char"/>
    <w:semiHidden/>
    <w:unhideWhenUsed/>
    <w:qFormat/>
    <w:rsid w:val="00714A71"/>
    <w:pPr>
      <w:keepNext/>
      <w:numPr>
        <w:ilvl w:val="1"/>
        <w:numId w:val="3"/>
      </w:numPr>
      <w:snapToGrid w:val="0"/>
      <w:spacing w:before="480" w:after="360" w:line="240" w:lineRule="auto"/>
      <w:outlineLvl w:val="1"/>
    </w:pPr>
    <w:rPr>
      <w:rFonts w:asciiTheme="majorHAnsi" w:eastAsia="Times New Roman" w:hAnsiTheme="majorHAnsi" w:cs="Times New Roman"/>
      <w:b/>
      <w:sz w:val="28"/>
      <w:szCs w:val="20"/>
      <w:lang w:eastAsia="en-US"/>
    </w:rPr>
  </w:style>
  <w:style w:type="paragraph" w:styleId="Heading3">
    <w:name w:val="heading 3"/>
    <w:basedOn w:val="Normal"/>
    <w:next w:val="Normal"/>
    <w:link w:val="Heading3Char"/>
    <w:semiHidden/>
    <w:unhideWhenUsed/>
    <w:qFormat/>
    <w:rsid w:val="00714A71"/>
    <w:pPr>
      <w:keepNext/>
      <w:numPr>
        <w:ilvl w:val="2"/>
        <w:numId w:val="3"/>
      </w:numPr>
      <w:snapToGrid w:val="0"/>
      <w:spacing w:before="360" w:after="240" w:line="240" w:lineRule="auto"/>
      <w:outlineLvl w:val="2"/>
    </w:pPr>
    <w:rPr>
      <w:rFonts w:asciiTheme="majorHAnsi" w:eastAsia="Times New Roman" w:hAnsiTheme="majorHAnsi" w:cs="Times New Roman"/>
      <w:b/>
      <w:sz w:val="28"/>
      <w:szCs w:val="20"/>
      <w:lang w:eastAsia="en-US"/>
    </w:rPr>
  </w:style>
  <w:style w:type="paragraph" w:styleId="Heading4">
    <w:name w:val="heading 4"/>
    <w:basedOn w:val="Normal"/>
    <w:next w:val="Normal"/>
    <w:link w:val="Heading4Char"/>
    <w:semiHidden/>
    <w:unhideWhenUsed/>
    <w:qFormat/>
    <w:rsid w:val="00714A71"/>
    <w:pPr>
      <w:keepNext/>
      <w:numPr>
        <w:ilvl w:val="3"/>
        <w:numId w:val="3"/>
      </w:numPr>
      <w:spacing w:before="360" w:after="240" w:line="288" w:lineRule="auto"/>
      <w:outlineLvl w:val="3"/>
    </w:pPr>
    <w:rPr>
      <w:rFonts w:asciiTheme="majorHAnsi" w:eastAsia="Arial Unicode MS" w:hAnsiTheme="majorHAnsi" w:cs="Times New Roman"/>
      <w:b/>
      <w:sz w:val="28"/>
      <w:szCs w:val="20"/>
      <w:lang w:eastAsia="en-US"/>
    </w:rPr>
  </w:style>
  <w:style w:type="paragraph" w:styleId="Heading5">
    <w:name w:val="heading 5"/>
    <w:basedOn w:val="Normal"/>
    <w:next w:val="Normal"/>
    <w:link w:val="Heading5Char"/>
    <w:semiHidden/>
    <w:unhideWhenUsed/>
    <w:qFormat/>
    <w:rsid w:val="00714A71"/>
    <w:pPr>
      <w:keepNext/>
      <w:numPr>
        <w:ilvl w:val="4"/>
        <w:numId w:val="3"/>
      </w:numPr>
      <w:spacing w:before="360" w:after="120" w:line="240" w:lineRule="auto"/>
      <w:outlineLvl w:val="4"/>
    </w:pPr>
    <w:rPr>
      <w:rFonts w:asciiTheme="majorHAnsi" w:eastAsia="Times New Roman" w:hAnsiTheme="majorHAnsi" w:cs="Times New Roman"/>
      <w:b/>
      <w:sz w:val="24"/>
      <w:szCs w:val="20"/>
      <w:lang w:eastAsia="en-US"/>
    </w:rPr>
  </w:style>
  <w:style w:type="paragraph" w:styleId="Heading6">
    <w:name w:val="heading 6"/>
    <w:basedOn w:val="Normal"/>
    <w:next w:val="Normal"/>
    <w:link w:val="Heading6Char"/>
    <w:semiHidden/>
    <w:unhideWhenUsed/>
    <w:qFormat/>
    <w:rsid w:val="00714A71"/>
    <w:pPr>
      <w:numPr>
        <w:ilvl w:val="5"/>
        <w:numId w:val="3"/>
      </w:numPr>
      <w:spacing w:before="240" w:after="120" w:line="240" w:lineRule="auto"/>
      <w:jc w:val="both"/>
      <w:outlineLvl w:val="5"/>
    </w:pPr>
    <w:rPr>
      <w:rFonts w:asciiTheme="majorHAnsi" w:eastAsia="Times New Roman" w:hAnsiTheme="majorHAnsi" w:cs="Times New Roman"/>
      <w:b/>
      <w:bCs/>
    </w:rPr>
  </w:style>
  <w:style w:type="paragraph" w:styleId="Heading7">
    <w:name w:val="heading 7"/>
    <w:basedOn w:val="Normal"/>
    <w:next w:val="Normal"/>
    <w:link w:val="Heading7Char"/>
    <w:semiHidden/>
    <w:unhideWhenUsed/>
    <w:qFormat/>
    <w:rsid w:val="00714A71"/>
    <w:pPr>
      <w:numPr>
        <w:ilvl w:val="6"/>
        <w:numId w:val="3"/>
      </w:numPr>
      <w:spacing w:before="240" w:after="100" w:afterAutospacing="1" w:line="240" w:lineRule="auto"/>
      <w:jc w:val="both"/>
      <w:outlineLvl w:val="6"/>
    </w:pPr>
    <w:rPr>
      <w:rFonts w:asciiTheme="majorHAnsi" w:eastAsiaTheme="majorEastAsia" w:hAnsiTheme="majorHAnsi" w:cstheme="majorBidi"/>
      <w:iCs/>
      <w:szCs w:val="20"/>
      <w:lang w:eastAsia="en-US"/>
    </w:rPr>
  </w:style>
  <w:style w:type="paragraph" w:styleId="Heading8">
    <w:name w:val="heading 8"/>
    <w:basedOn w:val="Normal"/>
    <w:next w:val="Normal"/>
    <w:link w:val="Heading8Char"/>
    <w:semiHidden/>
    <w:unhideWhenUsed/>
    <w:qFormat/>
    <w:rsid w:val="00714A71"/>
    <w:pPr>
      <w:keepNext/>
      <w:keepLines/>
      <w:numPr>
        <w:ilvl w:val="7"/>
        <w:numId w:val="3"/>
      </w:numPr>
      <w:snapToGrid w:val="0"/>
      <w:spacing w:before="200" w:after="0" w:line="240"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semiHidden/>
    <w:unhideWhenUsed/>
    <w:qFormat/>
    <w:rsid w:val="00714A71"/>
    <w:pPr>
      <w:keepNext/>
      <w:keepLines/>
      <w:numPr>
        <w:ilvl w:val="8"/>
        <w:numId w:val="3"/>
      </w:numPr>
      <w:snapToGrid w:val="0"/>
      <w:spacing w:before="200" w:after="0" w:line="240"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D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6DD0"/>
    <w:rPr>
      <w:rFonts w:eastAsiaTheme="minorEastAsia"/>
      <w:lang w:val="el-GR" w:eastAsia="el-GR"/>
    </w:rPr>
  </w:style>
  <w:style w:type="paragraph" w:styleId="Footer">
    <w:name w:val="footer"/>
    <w:basedOn w:val="Normal"/>
    <w:link w:val="FooterChar"/>
    <w:uiPriority w:val="99"/>
    <w:unhideWhenUsed/>
    <w:rsid w:val="00D86D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6DD0"/>
    <w:rPr>
      <w:rFonts w:eastAsiaTheme="minorEastAsia"/>
      <w:lang w:val="el-GR" w:eastAsia="el-GR"/>
    </w:rPr>
  </w:style>
  <w:style w:type="character" w:styleId="PlaceholderText">
    <w:name w:val="Placeholder Text"/>
    <w:uiPriority w:val="99"/>
    <w:semiHidden/>
    <w:rsid w:val="007D0972"/>
    <w:rPr>
      <w:color w:val="808080"/>
    </w:rPr>
  </w:style>
  <w:style w:type="paragraph" w:styleId="BalloonText">
    <w:name w:val="Balloon Text"/>
    <w:basedOn w:val="Normal"/>
    <w:link w:val="BalloonTextChar"/>
    <w:uiPriority w:val="99"/>
    <w:semiHidden/>
    <w:unhideWhenUsed/>
    <w:rsid w:val="003B5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651"/>
    <w:rPr>
      <w:rFonts w:ascii="Segoe UI" w:eastAsiaTheme="minorEastAsia" w:hAnsi="Segoe UI" w:cs="Segoe UI"/>
      <w:sz w:val="18"/>
      <w:szCs w:val="18"/>
      <w:lang w:val="el-GR" w:eastAsia="el-GR"/>
    </w:rPr>
  </w:style>
  <w:style w:type="character" w:customStyle="1" w:styleId="Heading1Char">
    <w:name w:val="Heading 1 Char"/>
    <w:basedOn w:val="DefaultParagraphFont"/>
    <w:link w:val="Heading1"/>
    <w:rsid w:val="00714A71"/>
    <w:rPr>
      <w:rFonts w:asciiTheme="majorHAnsi" w:eastAsia="Times New Roman" w:hAnsiTheme="majorHAnsi" w:cs="Times New Roman"/>
      <w:b/>
      <w:bCs/>
      <w:sz w:val="32"/>
      <w:lang w:val="el-GR"/>
    </w:rPr>
  </w:style>
  <w:style w:type="character" w:customStyle="1" w:styleId="Heading2Char">
    <w:name w:val="Heading 2 Char"/>
    <w:basedOn w:val="DefaultParagraphFont"/>
    <w:link w:val="Heading2"/>
    <w:semiHidden/>
    <w:rsid w:val="00714A71"/>
    <w:rPr>
      <w:rFonts w:asciiTheme="majorHAnsi" w:eastAsia="Times New Roman" w:hAnsiTheme="majorHAnsi" w:cs="Times New Roman"/>
      <w:b/>
      <w:sz w:val="28"/>
      <w:szCs w:val="20"/>
      <w:lang w:val="el-GR"/>
    </w:rPr>
  </w:style>
  <w:style w:type="character" w:customStyle="1" w:styleId="Heading3Char">
    <w:name w:val="Heading 3 Char"/>
    <w:basedOn w:val="DefaultParagraphFont"/>
    <w:link w:val="Heading3"/>
    <w:semiHidden/>
    <w:rsid w:val="00714A71"/>
    <w:rPr>
      <w:rFonts w:asciiTheme="majorHAnsi" w:eastAsia="Times New Roman" w:hAnsiTheme="majorHAnsi" w:cs="Times New Roman"/>
      <w:b/>
      <w:sz w:val="28"/>
      <w:szCs w:val="20"/>
      <w:lang w:val="el-GR"/>
    </w:rPr>
  </w:style>
  <w:style w:type="character" w:customStyle="1" w:styleId="Heading4Char">
    <w:name w:val="Heading 4 Char"/>
    <w:basedOn w:val="DefaultParagraphFont"/>
    <w:link w:val="Heading4"/>
    <w:semiHidden/>
    <w:rsid w:val="00714A71"/>
    <w:rPr>
      <w:rFonts w:asciiTheme="majorHAnsi" w:eastAsia="Arial Unicode MS" w:hAnsiTheme="majorHAnsi" w:cs="Times New Roman"/>
      <w:b/>
      <w:sz w:val="28"/>
      <w:szCs w:val="20"/>
      <w:lang w:val="el-GR"/>
    </w:rPr>
  </w:style>
  <w:style w:type="character" w:customStyle="1" w:styleId="Heading5Char">
    <w:name w:val="Heading 5 Char"/>
    <w:basedOn w:val="DefaultParagraphFont"/>
    <w:link w:val="Heading5"/>
    <w:semiHidden/>
    <w:rsid w:val="00714A71"/>
    <w:rPr>
      <w:rFonts w:asciiTheme="majorHAnsi" w:eastAsia="Times New Roman" w:hAnsiTheme="majorHAnsi" w:cs="Times New Roman"/>
      <w:b/>
      <w:sz w:val="24"/>
      <w:szCs w:val="20"/>
      <w:lang w:val="el-GR"/>
    </w:rPr>
  </w:style>
  <w:style w:type="character" w:customStyle="1" w:styleId="Heading6Char">
    <w:name w:val="Heading 6 Char"/>
    <w:basedOn w:val="DefaultParagraphFont"/>
    <w:link w:val="Heading6"/>
    <w:semiHidden/>
    <w:rsid w:val="00714A71"/>
    <w:rPr>
      <w:rFonts w:asciiTheme="majorHAnsi" w:eastAsia="Times New Roman" w:hAnsiTheme="majorHAnsi" w:cs="Times New Roman"/>
      <w:b/>
      <w:bCs/>
      <w:lang w:val="el-GR" w:eastAsia="el-GR"/>
    </w:rPr>
  </w:style>
  <w:style w:type="character" w:customStyle="1" w:styleId="Heading7Char">
    <w:name w:val="Heading 7 Char"/>
    <w:basedOn w:val="DefaultParagraphFont"/>
    <w:link w:val="Heading7"/>
    <w:semiHidden/>
    <w:rsid w:val="00714A71"/>
    <w:rPr>
      <w:rFonts w:asciiTheme="majorHAnsi" w:eastAsiaTheme="majorEastAsia" w:hAnsiTheme="majorHAnsi" w:cstheme="majorBidi"/>
      <w:iCs/>
      <w:szCs w:val="20"/>
      <w:lang w:val="el-GR"/>
    </w:rPr>
  </w:style>
  <w:style w:type="character" w:customStyle="1" w:styleId="Heading8Char">
    <w:name w:val="Heading 8 Char"/>
    <w:basedOn w:val="DefaultParagraphFont"/>
    <w:link w:val="Heading8"/>
    <w:semiHidden/>
    <w:rsid w:val="00714A71"/>
    <w:rPr>
      <w:rFonts w:asciiTheme="majorHAnsi" w:eastAsiaTheme="majorEastAsia" w:hAnsiTheme="majorHAnsi" w:cstheme="majorBidi"/>
      <w:color w:val="404040" w:themeColor="text1" w:themeTint="BF"/>
      <w:sz w:val="20"/>
      <w:szCs w:val="20"/>
      <w:lang w:val="el-GR"/>
    </w:rPr>
  </w:style>
  <w:style w:type="character" w:customStyle="1" w:styleId="Heading9Char">
    <w:name w:val="Heading 9 Char"/>
    <w:basedOn w:val="DefaultParagraphFont"/>
    <w:link w:val="Heading9"/>
    <w:semiHidden/>
    <w:rsid w:val="00714A71"/>
    <w:rPr>
      <w:rFonts w:asciiTheme="majorHAnsi" w:eastAsiaTheme="majorEastAsia" w:hAnsiTheme="majorHAnsi" w:cstheme="majorBidi"/>
      <w:i/>
      <w:iCs/>
      <w:color w:val="404040" w:themeColor="text1" w:themeTint="BF"/>
      <w:sz w:val="20"/>
      <w:szCs w:val="20"/>
      <w:lang w:val="el-GR"/>
    </w:rPr>
  </w:style>
  <w:style w:type="character" w:styleId="Hyperlink">
    <w:name w:val="Hyperlink"/>
    <w:basedOn w:val="DefaultParagraphFont"/>
    <w:uiPriority w:val="99"/>
    <w:semiHidden/>
    <w:unhideWhenUsed/>
    <w:rsid w:val="00A275FD"/>
    <w:rPr>
      <w:color w:val="0563C1" w:themeColor="hyperlink"/>
      <w:u w:val="single"/>
    </w:rPr>
  </w:style>
  <w:style w:type="table" w:styleId="TableGrid">
    <w:name w:val="Table Grid"/>
    <w:basedOn w:val="TableNormal"/>
    <w:uiPriority w:val="59"/>
    <w:rsid w:val="00144F96"/>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3065A"/>
    <w:rPr>
      <w:sz w:val="16"/>
      <w:szCs w:val="16"/>
    </w:rPr>
  </w:style>
  <w:style w:type="paragraph" w:styleId="CommentText">
    <w:name w:val="annotation text"/>
    <w:basedOn w:val="Normal"/>
    <w:link w:val="CommentTextChar"/>
    <w:uiPriority w:val="99"/>
    <w:semiHidden/>
    <w:unhideWhenUsed/>
    <w:rsid w:val="00D3065A"/>
    <w:pPr>
      <w:spacing w:line="240" w:lineRule="auto"/>
    </w:pPr>
    <w:rPr>
      <w:sz w:val="20"/>
      <w:szCs w:val="20"/>
    </w:rPr>
  </w:style>
  <w:style w:type="character" w:customStyle="1" w:styleId="CommentTextChar">
    <w:name w:val="Comment Text Char"/>
    <w:basedOn w:val="DefaultParagraphFont"/>
    <w:link w:val="CommentText"/>
    <w:uiPriority w:val="99"/>
    <w:semiHidden/>
    <w:rsid w:val="00D3065A"/>
    <w:rPr>
      <w:rFonts w:eastAsiaTheme="minorEastAsia"/>
      <w:sz w:val="20"/>
      <w:szCs w:val="20"/>
      <w:lang w:val="el-GR" w:eastAsia="el-GR"/>
    </w:rPr>
  </w:style>
  <w:style w:type="paragraph" w:styleId="CommentSubject">
    <w:name w:val="annotation subject"/>
    <w:basedOn w:val="CommentText"/>
    <w:next w:val="CommentText"/>
    <w:link w:val="CommentSubjectChar"/>
    <w:uiPriority w:val="99"/>
    <w:semiHidden/>
    <w:unhideWhenUsed/>
    <w:rsid w:val="00D3065A"/>
    <w:rPr>
      <w:b/>
      <w:bCs/>
    </w:rPr>
  </w:style>
  <w:style w:type="character" w:customStyle="1" w:styleId="CommentSubjectChar">
    <w:name w:val="Comment Subject Char"/>
    <w:basedOn w:val="CommentTextChar"/>
    <w:link w:val="CommentSubject"/>
    <w:uiPriority w:val="99"/>
    <w:semiHidden/>
    <w:rsid w:val="00D3065A"/>
    <w:rPr>
      <w:rFonts w:eastAsiaTheme="minorEastAsia"/>
      <w:b/>
      <w:bCs/>
      <w:sz w:val="20"/>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777650">
      <w:bodyDiv w:val="1"/>
      <w:marLeft w:val="0"/>
      <w:marRight w:val="0"/>
      <w:marTop w:val="0"/>
      <w:marBottom w:val="0"/>
      <w:divBdr>
        <w:top w:val="none" w:sz="0" w:space="0" w:color="auto"/>
        <w:left w:val="none" w:sz="0" w:space="0" w:color="auto"/>
        <w:bottom w:val="none" w:sz="0" w:space="0" w:color="auto"/>
        <w:right w:val="none" w:sz="0" w:space="0" w:color="auto"/>
      </w:divBdr>
    </w:div>
    <w:div w:id="78277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31396AF9A504EC0A664E67EEDBDD140"/>
        <w:category>
          <w:name w:val="General"/>
          <w:gallery w:val="placeholder"/>
        </w:category>
        <w:types>
          <w:type w:val="bbPlcHdr"/>
        </w:types>
        <w:behaviors>
          <w:behavior w:val="content"/>
        </w:behaviors>
        <w:guid w:val="{A53FE56A-25DB-4A91-8AC5-7C125C40948E}"/>
      </w:docPartPr>
      <w:docPartBody>
        <w:p w:rsidR="00F673C0" w:rsidRDefault="003329FF" w:rsidP="003329FF">
          <w:pPr>
            <w:pStyle w:val="A31396AF9A504EC0A664E67EEDBDD140"/>
          </w:pPr>
          <w:r>
            <w:rPr>
              <w:rStyle w:val="PlaceholderText"/>
            </w:rPr>
            <w:t>Click or tap here to enter text.</w:t>
          </w:r>
        </w:p>
      </w:docPartBody>
    </w:docPart>
    <w:docPart>
      <w:docPartPr>
        <w:name w:val="89849B24DA114C219482F594B1609CAB"/>
        <w:category>
          <w:name w:val="General"/>
          <w:gallery w:val="placeholder"/>
        </w:category>
        <w:types>
          <w:type w:val="bbPlcHdr"/>
        </w:types>
        <w:behaviors>
          <w:behavior w:val="content"/>
        </w:behaviors>
        <w:guid w:val="{F2E3DD47-D32C-46CE-999D-89F8DBB8F3A6}"/>
      </w:docPartPr>
      <w:docPartBody>
        <w:p w:rsidR="00F673C0" w:rsidRDefault="003329FF" w:rsidP="003329FF">
          <w:pPr>
            <w:pStyle w:val="89849B24DA114C219482F594B1609CAB"/>
          </w:pPr>
          <w:r>
            <w:rPr>
              <w:rStyle w:val="PlaceholderText"/>
            </w:rPr>
            <w:t>Click or tap here to enter text.</w:t>
          </w:r>
        </w:p>
      </w:docPartBody>
    </w:docPart>
    <w:docPart>
      <w:docPartPr>
        <w:name w:val="CE8994D51B4A472396158265782DC542"/>
        <w:category>
          <w:name w:val="General"/>
          <w:gallery w:val="placeholder"/>
        </w:category>
        <w:types>
          <w:type w:val="bbPlcHdr"/>
        </w:types>
        <w:behaviors>
          <w:behavior w:val="content"/>
        </w:behaviors>
        <w:guid w:val="{062008AF-C7D2-471C-805E-965784EBC9FE}"/>
      </w:docPartPr>
      <w:docPartBody>
        <w:p w:rsidR="00F673C0" w:rsidRDefault="003329FF" w:rsidP="003329FF">
          <w:pPr>
            <w:pStyle w:val="CE8994D51B4A472396158265782DC542"/>
          </w:pPr>
          <w:r>
            <w:rPr>
              <w:rStyle w:val="PlaceholderText"/>
            </w:rPr>
            <w:t>Click or tap here to enter text.</w:t>
          </w:r>
        </w:p>
      </w:docPartBody>
    </w:docPart>
    <w:docPart>
      <w:docPartPr>
        <w:name w:val="795F2218DCE74904ABAC2E074364FB2D"/>
        <w:category>
          <w:name w:val="General"/>
          <w:gallery w:val="placeholder"/>
        </w:category>
        <w:types>
          <w:type w:val="bbPlcHdr"/>
        </w:types>
        <w:behaviors>
          <w:behavior w:val="content"/>
        </w:behaviors>
        <w:guid w:val="{372A14F9-4814-48DF-9AA2-8B467BFAF1BA}"/>
      </w:docPartPr>
      <w:docPartBody>
        <w:p w:rsidR="00F673C0" w:rsidRDefault="003329FF" w:rsidP="003329FF">
          <w:pPr>
            <w:pStyle w:val="795F2218DCE74904ABAC2E074364FB2D"/>
          </w:pPr>
          <w:r>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2EEEF2ED-AC89-4E64-9995-EF3C6F7BABC8}"/>
      </w:docPartPr>
      <w:docPartBody>
        <w:p w:rsidR="00F673C0" w:rsidRDefault="003329FF">
          <w:r w:rsidRPr="00FD790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9FF"/>
    <w:rsid w:val="003329FF"/>
    <w:rsid w:val="008275C8"/>
    <w:rsid w:val="00F67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329FF"/>
    <w:rPr>
      <w:color w:val="808080"/>
    </w:rPr>
  </w:style>
  <w:style w:type="paragraph" w:customStyle="1" w:styleId="A31396AF9A504EC0A664E67EEDBDD140">
    <w:name w:val="A31396AF9A504EC0A664E67EEDBDD140"/>
    <w:rsid w:val="003329FF"/>
  </w:style>
  <w:style w:type="paragraph" w:customStyle="1" w:styleId="89849B24DA114C219482F594B1609CAB">
    <w:name w:val="89849B24DA114C219482F594B1609CAB"/>
    <w:rsid w:val="003329FF"/>
  </w:style>
  <w:style w:type="paragraph" w:customStyle="1" w:styleId="CE8994D51B4A472396158265782DC542">
    <w:name w:val="CE8994D51B4A472396158265782DC542"/>
    <w:rsid w:val="003329FF"/>
  </w:style>
  <w:style w:type="paragraph" w:customStyle="1" w:styleId="795F2218DCE74904ABAC2E074364FB2D">
    <w:name w:val="795F2218DCE74904ABAC2E074364FB2D"/>
    <w:rsid w:val="003329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23963-35B3-43E7-8C3D-873B2CD36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2548</Words>
  <Characters>13765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2021-09-28T07:58:00Z</dcterms:created>
  <dcterms:modified xsi:type="dcterms:W3CDTF">2021-10-21T14:09:00Z</dcterms:modified>
</cp:coreProperties>
</file>