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AAC32" w14:textId="77777777" w:rsidR="00C4132E" w:rsidRPr="005A2CF7" w:rsidRDefault="00C4132E" w:rsidP="00377968">
      <w:pPr>
        <w:jc w:val="center"/>
        <w:rPr>
          <w:rFonts w:cstheme="minorHAnsi"/>
          <w:b/>
          <w:u w:val="single"/>
          <w:lang w:val="en-GB"/>
        </w:rPr>
      </w:pPr>
    </w:p>
    <w:p w14:paraId="602AE689" w14:textId="6E31A6B5" w:rsidR="00D0714E" w:rsidRPr="005A2CF7" w:rsidRDefault="00FA7AEB" w:rsidP="00D0714E">
      <w:pPr>
        <w:spacing w:before="120" w:after="120" w:line="360" w:lineRule="auto"/>
        <w:jc w:val="center"/>
        <w:rPr>
          <w:rFonts w:eastAsia="Calibri" w:cstheme="minorHAnsi"/>
          <w:b/>
          <w:bCs/>
          <w:color w:val="0067A6"/>
          <w:sz w:val="28"/>
          <w:szCs w:val="28"/>
          <w:lang w:val="en-US" w:eastAsia="en-US"/>
        </w:rPr>
      </w:pPr>
      <w:r w:rsidRPr="00D24B65">
        <w:rPr>
          <w:rFonts w:ascii="Calibri" w:eastAsia="Calibri" w:hAnsi="Calibri" w:cs="Arial"/>
          <w:lang w:val="it-IT"/>
        </w:rPr>
        <w:t xml:space="preserve"> </w:t>
      </w:r>
      <w:r w:rsidR="008C26CF" w:rsidRPr="005A2CF7">
        <w:rPr>
          <w:rFonts w:eastAsia="Calibri" w:cstheme="minorHAnsi"/>
          <w:b/>
          <w:bCs/>
          <w:color w:val="0067A6"/>
          <w:sz w:val="28"/>
          <w:szCs w:val="28"/>
          <w:lang w:val="en-US" w:eastAsia="en-US"/>
        </w:rPr>
        <w:t>J</w:t>
      </w:r>
      <w:r w:rsidR="008C26CF">
        <w:rPr>
          <w:rFonts w:eastAsia="Calibri" w:cstheme="minorHAnsi"/>
          <w:b/>
          <w:bCs/>
          <w:color w:val="0067A6"/>
          <w:sz w:val="28"/>
          <w:szCs w:val="28"/>
          <w:lang w:val="en-US" w:eastAsia="en-US"/>
        </w:rPr>
        <w:t>OINT DECLARATION OF SETTLEMENT BANK &amp; CLEARING MEMBER REGARDING THE ENEXCLEAR ANCILLARY SYSTEM</w:t>
      </w:r>
      <w:r w:rsidR="008C26CF" w:rsidRPr="005A2CF7">
        <w:rPr>
          <w:rFonts w:eastAsia="Calibri" w:cstheme="minorHAnsi"/>
          <w:b/>
          <w:bCs/>
          <w:color w:val="0067A6"/>
          <w:sz w:val="28"/>
          <w:szCs w:val="28"/>
          <w:lang w:val="en-US" w:eastAsia="en-US"/>
        </w:rPr>
        <w:t xml:space="preserve"> </w:t>
      </w:r>
      <w:r w:rsidR="008C26CF">
        <w:rPr>
          <w:rFonts w:eastAsia="Calibri" w:cstheme="minorHAnsi"/>
          <w:b/>
          <w:bCs/>
          <w:color w:val="0067A6"/>
          <w:sz w:val="28"/>
          <w:szCs w:val="28"/>
          <w:lang w:val="en-US" w:eastAsia="en-US"/>
        </w:rPr>
        <w:t>IN THE FRAMEWORK OF TAR</w:t>
      </w:r>
      <w:r w:rsidR="008C26CF" w:rsidRPr="005A2CF7">
        <w:rPr>
          <w:rFonts w:eastAsia="Calibri" w:cstheme="minorHAnsi"/>
          <w:b/>
          <w:bCs/>
          <w:color w:val="0067A6"/>
          <w:sz w:val="28"/>
          <w:szCs w:val="28"/>
          <w:lang w:val="en-US" w:eastAsia="en-US"/>
        </w:rPr>
        <w:t>GET2-GR</w:t>
      </w:r>
    </w:p>
    <w:p w14:paraId="79BE0DC2" w14:textId="23AFE0B5" w:rsidR="00FA7AEB" w:rsidRDefault="00FA7AEB" w:rsidP="00FA7AEB">
      <w:pPr>
        <w:tabs>
          <w:tab w:val="left" w:pos="7353"/>
          <w:tab w:val="right" w:pos="9639"/>
        </w:tabs>
        <w:rPr>
          <w:rFonts w:ascii="Calibri" w:eastAsia="Calibri" w:hAnsi="Calibri" w:cs="Arial"/>
          <w:lang w:val="it-IT"/>
        </w:rPr>
      </w:pPr>
      <w:r w:rsidRPr="00D24B65">
        <w:rPr>
          <w:rFonts w:ascii="Calibri" w:eastAsia="Calibri" w:hAnsi="Calibri" w:cs="Arial"/>
          <w:lang w:val="it-IT"/>
        </w:rPr>
        <w:t xml:space="preserve"> </w:t>
      </w:r>
      <w:bookmarkStart w:id="0" w:name="_Hlk37255606"/>
      <w:r w:rsidRPr="00A94325">
        <w:rPr>
          <w:rFonts w:ascii="Calibri" w:hAnsi="Calibri" w:cs="Arial"/>
          <w:lang w:val="it-IT"/>
        </w:rPr>
        <w:t xml:space="preserve">Please send </w:t>
      </w:r>
      <w:r>
        <w:rPr>
          <w:rFonts w:ascii="Calibri" w:hAnsi="Calibri" w:cs="Arial"/>
          <w:lang w:val="it-IT"/>
        </w:rPr>
        <w:t xml:space="preserve">a </w:t>
      </w:r>
      <w:r w:rsidRPr="00A94325">
        <w:rPr>
          <w:rFonts w:ascii="Calibri" w:hAnsi="Calibri" w:cs="Arial"/>
          <w:lang w:val="it-IT"/>
        </w:rPr>
        <w:t>scanned cop</w:t>
      </w:r>
      <w:r>
        <w:rPr>
          <w:rFonts w:ascii="Calibri" w:hAnsi="Calibri" w:cs="Arial"/>
          <w:lang w:val="it-IT"/>
        </w:rPr>
        <w:t>y</w:t>
      </w:r>
      <w:r w:rsidRPr="00A94325">
        <w:rPr>
          <w:rFonts w:ascii="Calibri" w:hAnsi="Calibri" w:cs="Arial"/>
          <w:lang w:val="it-IT"/>
        </w:rPr>
        <w:t xml:space="preserve"> of th</w:t>
      </w:r>
      <w:r>
        <w:rPr>
          <w:rFonts w:ascii="Calibri" w:hAnsi="Calibri" w:cs="Arial"/>
          <w:lang w:val="it-IT"/>
        </w:rPr>
        <w:t>is</w:t>
      </w:r>
      <w:r w:rsidRPr="00A94325">
        <w:rPr>
          <w:rFonts w:ascii="Calibri" w:hAnsi="Calibri" w:cs="Arial"/>
          <w:lang w:val="it-IT"/>
        </w:rPr>
        <w:t xml:space="preserve"> form</w:t>
      </w:r>
      <w:r>
        <w:rPr>
          <w:rFonts w:ascii="Calibri" w:hAnsi="Calibri" w:cs="Arial"/>
          <w:lang w:val="it-IT"/>
        </w:rPr>
        <w:t xml:space="preserve"> and the original hard copy</w:t>
      </w:r>
      <w:r w:rsidRPr="00A94325">
        <w:rPr>
          <w:rFonts w:ascii="Calibri" w:hAnsi="Calibri" w:cs="Arial"/>
          <w:lang w:val="it-IT"/>
        </w:rPr>
        <w:t>, signed accordingly</w:t>
      </w:r>
      <w:r>
        <w:rPr>
          <w:rFonts w:ascii="Calibri" w:hAnsi="Calibri" w:cs="Arial"/>
          <w:lang w:val="it-IT"/>
        </w:rPr>
        <w:t xml:space="preserve">, </w:t>
      </w:r>
      <w:r w:rsidRPr="00A94325">
        <w:rPr>
          <w:rFonts w:ascii="Calibri" w:hAnsi="Calibri" w:cs="Arial"/>
          <w:lang w:val="it-IT"/>
        </w:rPr>
        <w:t>to:</w:t>
      </w:r>
      <w:r w:rsidRPr="00D24B65">
        <w:rPr>
          <w:rFonts w:ascii="Calibri" w:eastAsia="Calibri" w:hAnsi="Calibri" w:cs="Arial"/>
          <w:lang w:val="it-IT"/>
        </w:rPr>
        <w:t xml:space="preserve"> </w:t>
      </w:r>
    </w:p>
    <w:p w14:paraId="4ED037E6" w14:textId="77777777" w:rsidR="006F7E60" w:rsidRPr="0057766E" w:rsidRDefault="00FA7AEB" w:rsidP="006F7E60">
      <w:pPr>
        <w:tabs>
          <w:tab w:val="left" w:pos="7353"/>
          <w:tab w:val="right" w:pos="9639"/>
        </w:tabs>
        <w:spacing w:after="0" w:line="240" w:lineRule="auto"/>
        <w:rPr>
          <w:rFonts w:ascii="Calibri" w:hAnsi="Calibri" w:cs="Arial"/>
          <w:b/>
          <w:bCs/>
          <w:lang w:val="it-IT"/>
        </w:rPr>
      </w:pPr>
      <w:r>
        <w:rPr>
          <w:rFonts w:ascii="Calibri" w:eastAsia="Calibri" w:hAnsi="Calibri" w:cs="Arial"/>
          <w:lang w:val="it-IT"/>
        </w:rPr>
        <w:t xml:space="preserve"> </w:t>
      </w:r>
      <w:r w:rsidRPr="0057766E">
        <w:rPr>
          <w:rFonts w:ascii="Calibri" w:eastAsia="Calibri" w:hAnsi="Calibri" w:cs="Arial"/>
          <w:b/>
          <w:bCs/>
          <w:lang w:val="it-IT"/>
        </w:rPr>
        <w:t xml:space="preserve"> </w:t>
      </w:r>
      <w:r w:rsidR="006F7E60" w:rsidRPr="0057766E">
        <w:rPr>
          <w:rFonts w:ascii="Calibri" w:hAnsi="Calibri" w:cs="Arial"/>
          <w:b/>
          <w:bCs/>
          <w:lang w:val="it-IT"/>
        </w:rPr>
        <w:t>EnEx Clearing House S.A. (EnExClear)</w:t>
      </w:r>
    </w:p>
    <w:p w14:paraId="69BC44F1" w14:textId="23183F7F" w:rsidR="00DA22C5" w:rsidRPr="006F7E60" w:rsidRDefault="006F7E60" w:rsidP="006F7E60">
      <w:pPr>
        <w:tabs>
          <w:tab w:val="left" w:pos="7353"/>
          <w:tab w:val="right" w:pos="9639"/>
        </w:tabs>
        <w:spacing w:after="0" w:line="240" w:lineRule="auto"/>
        <w:rPr>
          <w:rFonts w:ascii="Calibri" w:eastAsia="Calibri" w:hAnsi="Calibri" w:cs="Arial"/>
          <w:b/>
          <w:lang w:val="it-IT"/>
        </w:rPr>
      </w:pPr>
      <w:r>
        <w:rPr>
          <w:rFonts w:ascii="Calibri" w:hAnsi="Calibri" w:cs="Arial"/>
          <w:lang w:val="it-IT"/>
        </w:rPr>
        <w:t xml:space="preserve">  </w:t>
      </w:r>
      <w:r w:rsidR="00DA22C5">
        <w:rPr>
          <w:rFonts w:ascii="Calibri" w:eastAsia="Calibri" w:hAnsi="Calibri" w:cs="Arial"/>
          <w:b/>
          <w:lang w:val="it-IT"/>
        </w:rPr>
        <w:t>EnEx Member Support</w:t>
      </w:r>
    </w:p>
    <w:p w14:paraId="76ADB700" w14:textId="77777777" w:rsidR="00DA22C5" w:rsidRDefault="00DA22C5" w:rsidP="00D0714E">
      <w:pPr>
        <w:tabs>
          <w:tab w:val="left" w:pos="284"/>
        </w:tabs>
        <w:spacing w:after="0" w:line="240" w:lineRule="auto"/>
        <w:rPr>
          <w:rFonts w:ascii="Calibri" w:hAnsi="Calibri" w:cs="Arial"/>
          <w:lang w:val="it-IT"/>
        </w:rPr>
      </w:pPr>
      <w:r>
        <w:rPr>
          <w:rFonts w:ascii="Calibri" w:hAnsi="Calibri" w:cs="Arial"/>
          <w:lang w:val="it-IT"/>
        </w:rPr>
        <w:t xml:space="preserve">  110, Athinon Ave. 104 42 Athens, Greece</w:t>
      </w:r>
    </w:p>
    <w:p w14:paraId="015278F5" w14:textId="77777777" w:rsidR="00DA22C5" w:rsidRDefault="00DA22C5" w:rsidP="00D0714E">
      <w:pPr>
        <w:tabs>
          <w:tab w:val="left" w:pos="284"/>
        </w:tabs>
        <w:spacing w:after="0" w:line="240" w:lineRule="auto"/>
        <w:rPr>
          <w:rFonts w:ascii="Calibri" w:hAnsi="Calibri" w:cs="Arial"/>
          <w:lang w:val="it-IT"/>
        </w:rPr>
      </w:pPr>
      <w:r>
        <w:rPr>
          <w:rFonts w:ascii="Calibri" w:hAnsi="Calibri" w:cs="Arial"/>
          <w:lang w:val="it-IT"/>
        </w:rPr>
        <w:t xml:space="preserve">  Tel: (+30) 210 33 66 845 </w:t>
      </w:r>
    </w:p>
    <w:p w14:paraId="53F70F84" w14:textId="77777777" w:rsidR="00DA22C5" w:rsidRDefault="00DA22C5" w:rsidP="00D0714E">
      <w:pPr>
        <w:tabs>
          <w:tab w:val="left" w:pos="284"/>
        </w:tabs>
        <w:spacing w:after="0" w:line="240" w:lineRule="auto"/>
        <w:rPr>
          <w:rFonts w:ascii="Calibri" w:hAnsi="Calibri"/>
          <w:lang w:val="en-US"/>
        </w:rPr>
      </w:pPr>
      <w:r>
        <w:rPr>
          <w:rFonts w:ascii="Calibri" w:hAnsi="Calibri" w:cs="Arial"/>
          <w:lang w:val="it-IT"/>
        </w:rPr>
        <w:t xml:space="preserve">  E-mail: </w:t>
      </w:r>
      <w:hyperlink r:id="rId8" w:history="1">
        <w:r>
          <w:rPr>
            <w:rStyle w:val="Hyperlink"/>
            <w:rFonts w:ascii="Calibri" w:hAnsi="Calibri"/>
            <w:lang w:val="en-US"/>
          </w:rPr>
          <w:t>EnEx-Member-Support@enexgroup.gr</w:t>
        </w:r>
      </w:hyperlink>
      <w:r>
        <w:rPr>
          <w:rFonts w:ascii="Calibri" w:hAnsi="Calibri"/>
          <w:lang w:val="en-US"/>
        </w:rPr>
        <w:t xml:space="preserve"> </w:t>
      </w:r>
    </w:p>
    <w:p w14:paraId="3F712839" w14:textId="481B23DB" w:rsidR="00FA7AEB" w:rsidRPr="00FA7AEB" w:rsidRDefault="00FA7AEB" w:rsidP="00DA22C5">
      <w:pPr>
        <w:tabs>
          <w:tab w:val="left" w:pos="7353"/>
          <w:tab w:val="right" w:pos="9639"/>
        </w:tabs>
        <w:spacing w:before="120" w:after="0" w:line="240" w:lineRule="auto"/>
        <w:rPr>
          <w:rFonts w:ascii="Calibri" w:hAnsi="Calibri"/>
          <w:lang w:val="en-US"/>
        </w:rPr>
      </w:pPr>
      <w:r w:rsidRPr="00FA7AEB">
        <w:rPr>
          <w:rFonts w:ascii="Calibri" w:hAnsi="Calibri"/>
          <w:lang w:val="en-US"/>
        </w:rPr>
        <w:t xml:space="preserve"> </w:t>
      </w:r>
    </w:p>
    <w:bookmarkEnd w:id="0"/>
    <w:p w14:paraId="588E957A" w14:textId="12457BE1" w:rsidR="005A2CF7" w:rsidRPr="00EF3FB2" w:rsidRDefault="00377968" w:rsidP="005A2CF7">
      <w:pPr>
        <w:jc w:val="right"/>
        <w:rPr>
          <w:rFonts w:ascii="Calibri" w:eastAsia="Calibri" w:hAnsi="Calibri" w:cs="Arial"/>
          <w:b/>
          <w:bCs/>
          <w:color w:val="000000"/>
          <w:lang w:val="en-GB"/>
        </w:rPr>
      </w:pPr>
      <w:r w:rsidRPr="005A2CF7">
        <w:rPr>
          <w:rFonts w:cstheme="minorHAnsi"/>
          <w:lang w:val="en-GB"/>
        </w:rPr>
        <w:t xml:space="preserve">Athens, </w:t>
      </w:r>
      <w:sdt>
        <w:sdtPr>
          <w:rPr>
            <w:rFonts w:cstheme="minorHAnsi"/>
            <w:lang w:val="en-GB"/>
          </w:rPr>
          <w:id w:val="-1439831333"/>
          <w:placeholder>
            <w:docPart w:val="DefaultPlaceholder_-1854013437"/>
          </w:placeholder>
          <w:showingPlcHdr/>
          <w:date>
            <w:dateFormat w:val="dd/MM/yyyy"/>
            <w:lid w:val="en-150"/>
            <w:storeMappedDataAs w:val="dateTime"/>
            <w:calendar w:val="gregorian"/>
          </w:date>
        </w:sdtPr>
        <w:sdtEndPr/>
        <w:sdtContent>
          <w:r w:rsidR="007077EA" w:rsidRPr="007077EA">
            <w:rPr>
              <w:rStyle w:val="PlaceholderText"/>
              <w:lang w:val="en-US"/>
            </w:rPr>
            <w:t>Click or tap to enter a date.</w:t>
          </w:r>
        </w:sdtContent>
      </w:sdt>
    </w:p>
    <w:p w14:paraId="1882AE33" w14:textId="180AEE75" w:rsidR="00D0714E" w:rsidRDefault="00377968" w:rsidP="005A2CF7">
      <w:pPr>
        <w:pStyle w:val="ListParagraph"/>
        <w:numPr>
          <w:ilvl w:val="0"/>
          <w:numId w:val="4"/>
        </w:numPr>
        <w:spacing w:after="0" w:line="360" w:lineRule="auto"/>
        <w:jc w:val="both"/>
        <w:rPr>
          <w:rFonts w:cstheme="minorHAnsi"/>
          <w:lang w:val="en-GB"/>
        </w:rPr>
      </w:pPr>
      <w:r w:rsidRPr="00D0714E">
        <w:rPr>
          <w:rFonts w:cstheme="minorHAnsi"/>
          <w:lang w:val="en-GB"/>
        </w:rPr>
        <w:t>The legal entity with the company name</w:t>
      </w:r>
      <w:r w:rsidR="00C156F7">
        <w:rPr>
          <w:rFonts w:cstheme="minorHAnsi"/>
          <w:lang w:val="en-GB"/>
        </w:rPr>
        <w:t xml:space="preserve"> </w:t>
      </w:r>
      <w:sdt>
        <w:sdtPr>
          <w:rPr>
            <w:rFonts w:cstheme="minorHAnsi"/>
            <w:b/>
            <w:bCs/>
            <w:color w:val="000000"/>
            <w:sz w:val="20"/>
            <w:lang w:val="en-GB"/>
          </w:rPr>
          <w:id w:val="1560278806"/>
          <w:placeholder>
            <w:docPart w:val="2DEE7152195F4FCEA1BBE61282BF5043"/>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having its registered</w:t>
      </w:r>
      <w:r w:rsidR="00D0714E" w:rsidRPr="00D0714E">
        <w:rPr>
          <w:rFonts w:cstheme="minorHAnsi"/>
          <w:lang w:val="en-GB"/>
        </w:rPr>
        <w:t xml:space="preserve"> </w:t>
      </w:r>
      <w:r w:rsidRPr="00D0714E">
        <w:rPr>
          <w:rFonts w:cstheme="minorHAnsi"/>
          <w:lang w:val="en-GB"/>
        </w:rPr>
        <w:t>office in</w:t>
      </w:r>
      <w:r w:rsidR="00C156F7">
        <w:rPr>
          <w:rFonts w:cstheme="minorHAnsi"/>
          <w:lang w:val="en-GB"/>
        </w:rPr>
        <w:t xml:space="preserve"> </w:t>
      </w:r>
      <w:sdt>
        <w:sdtPr>
          <w:rPr>
            <w:rFonts w:cstheme="minorHAnsi"/>
            <w:b/>
            <w:bCs/>
            <w:color w:val="000000"/>
            <w:sz w:val="20"/>
            <w:lang w:val="en-GB"/>
          </w:rPr>
          <w:id w:val="-317038557"/>
          <w:placeholder>
            <w:docPart w:val="261BC603AB59471190E6AACEB5F3A408"/>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005A2CF7" w:rsidRPr="00D0714E">
        <w:rPr>
          <w:rFonts w:cstheme="minorHAnsi"/>
          <w:lang w:val="en-GB"/>
        </w:rPr>
        <w:t xml:space="preserve"> </w:t>
      </w:r>
      <w:r w:rsidRPr="00D0714E">
        <w:rPr>
          <w:rFonts w:cstheme="minorHAnsi"/>
          <w:lang w:val="en-GB"/>
        </w:rPr>
        <w:t>at</w:t>
      </w:r>
      <w:r w:rsidR="00C156F7">
        <w:rPr>
          <w:rFonts w:cstheme="minorHAnsi"/>
          <w:lang w:val="en-GB"/>
        </w:rPr>
        <w:t xml:space="preserve"> </w:t>
      </w:r>
      <w:sdt>
        <w:sdtPr>
          <w:rPr>
            <w:rFonts w:cstheme="minorHAnsi"/>
            <w:b/>
            <w:bCs/>
            <w:color w:val="000000"/>
            <w:sz w:val="20"/>
            <w:lang w:val="en-GB"/>
          </w:rPr>
          <w:id w:val="359169639"/>
          <w:placeholder>
            <w:docPart w:val="84128903FB2B4DC8A69E80843967F32D"/>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with Tax Registration No.</w:t>
      </w:r>
      <w:r w:rsidR="00C156F7">
        <w:rPr>
          <w:rFonts w:cstheme="minorHAnsi"/>
          <w:lang w:val="en-GB"/>
        </w:rPr>
        <w:t xml:space="preserve"> </w:t>
      </w:r>
      <w:sdt>
        <w:sdtPr>
          <w:rPr>
            <w:rFonts w:cstheme="minorHAnsi"/>
            <w:b/>
            <w:bCs/>
            <w:color w:val="000000"/>
            <w:sz w:val="20"/>
            <w:lang w:val="en-GB"/>
          </w:rPr>
          <w:id w:val="-1956623858"/>
          <w:placeholder>
            <w:docPart w:val="188048AB6CD64EBE9FBBC0584392ABC7"/>
          </w:placeholder>
          <w:showingPlcHdr/>
        </w:sdtPr>
        <w:sdtEndPr/>
        <w:sdtContent>
          <w:r w:rsidR="00C156F7" w:rsidRPr="00F85EBC">
            <w:rPr>
              <w:rFonts w:eastAsia="Calibri" w:cstheme="minorHAnsi"/>
              <w:color w:val="808080"/>
              <w:sz w:val="20"/>
              <w:lang w:val="en-US"/>
            </w:rPr>
            <w:t>Click or tap here to enter text.</w:t>
          </w:r>
        </w:sdtContent>
      </w:sdt>
      <w:r w:rsidRPr="00D0714E">
        <w:rPr>
          <w:rFonts w:cstheme="minorHAnsi"/>
          <w:lang w:val="en-GB"/>
        </w:rPr>
        <w:t>, legally represented for the signing hereof by</w:t>
      </w:r>
      <w:r w:rsidR="00C156F7">
        <w:rPr>
          <w:rFonts w:cstheme="minorHAnsi"/>
          <w:lang w:val="en-GB"/>
        </w:rPr>
        <w:t xml:space="preserve"> </w:t>
      </w:r>
      <w:sdt>
        <w:sdtPr>
          <w:rPr>
            <w:rFonts w:cstheme="minorHAnsi"/>
            <w:b/>
            <w:bCs/>
            <w:color w:val="000000"/>
            <w:sz w:val="20"/>
            <w:lang w:val="en-GB"/>
          </w:rPr>
          <w:id w:val="-698855785"/>
          <w:placeholder>
            <w:docPart w:val="A11999CCBE234900BC3255F87AF4FC38"/>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which is a Participant in TARGET2-GR and acts as Settlement Bank for the EnExClear Ancillary System (hereinafter “Settlement Bank”) by virtue of the declaration “TARGET2 form of collection of Static Data – Debit mandate for AS settlement –“ (Form 2002) dated </w:t>
      </w:r>
      <w:sdt>
        <w:sdtPr>
          <w:rPr>
            <w:rFonts w:cstheme="minorHAnsi"/>
            <w:lang w:val="en-GB"/>
          </w:rPr>
          <w:id w:val="43581539"/>
          <w:placeholder>
            <w:docPart w:val="DefaultPlaceholder_-1854013437"/>
          </w:placeholder>
          <w:showingPlcHdr/>
          <w:date>
            <w:dateFormat w:val="dd/MM/yyyy"/>
            <w:lid w:val="en-150"/>
            <w:storeMappedDataAs w:val="dateTime"/>
            <w:calendar w:val="gregorian"/>
          </w:date>
        </w:sdtPr>
        <w:sdtEndPr/>
        <w:sdtContent>
          <w:r w:rsidR="009B7D8C" w:rsidRPr="007B3031">
            <w:rPr>
              <w:rStyle w:val="PlaceholderText"/>
              <w:shd w:val="clear" w:color="auto" w:fill="E7E6E6" w:themeFill="background2"/>
              <w:lang w:val="en-US"/>
            </w:rPr>
            <w:t>Click or tap to enter a date.</w:t>
          </w:r>
        </w:sdtContent>
      </w:sdt>
      <w:r w:rsidR="00C156F7" w:rsidRPr="00D0714E">
        <w:rPr>
          <w:rFonts w:cstheme="minorHAnsi"/>
          <w:lang w:val="en-GB"/>
        </w:rPr>
        <w:t xml:space="preserve"> </w:t>
      </w:r>
      <w:r w:rsidRPr="00D0714E">
        <w:rPr>
          <w:rFonts w:cstheme="minorHAnsi"/>
          <w:lang w:val="en-GB"/>
        </w:rPr>
        <w:t>and the “DECLARATION &amp; SPECIAL TERMS ON THE PROVISION OF SETTLEMENT BANK SERVICES TO THE ENEXCLEAR ANCILLARY SYSTEM IN THE FRAMEWORK OF TARGET2-GR” to ENEXCLEAR.</w:t>
      </w:r>
    </w:p>
    <w:p w14:paraId="3C042095" w14:textId="16D84C46" w:rsidR="00377968" w:rsidRPr="00FF2F56" w:rsidRDefault="00377968" w:rsidP="005A2CF7">
      <w:pPr>
        <w:pStyle w:val="ListParagraph"/>
        <w:numPr>
          <w:ilvl w:val="0"/>
          <w:numId w:val="4"/>
        </w:numPr>
        <w:spacing w:after="0" w:line="360" w:lineRule="auto"/>
        <w:jc w:val="both"/>
        <w:rPr>
          <w:rFonts w:cstheme="minorHAnsi"/>
          <w:lang w:val="en-GB"/>
        </w:rPr>
      </w:pPr>
      <w:r w:rsidRPr="00D0714E">
        <w:rPr>
          <w:rFonts w:cstheme="minorHAnsi"/>
          <w:lang w:val="en-GB"/>
        </w:rPr>
        <w:t xml:space="preserve">The legal entity with the company name </w:t>
      </w:r>
      <w:sdt>
        <w:sdtPr>
          <w:rPr>
            <w:rFonts w:cstheme="minorHAnsi"/>
            <w:b/>
            <w:bCs/>
            <w:color w:val="000000"/>
            <w:sz w:val="20"/>
            <w:lang w:val="en-GB"/>
          </w:rPr>
          <w:id w:val="-622003780"/>
          <w:placeholder>
            <w:docPart w:val="60DDE7EA66F24543AE740DD313847869"/>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having its registered office in </w:t>
      </w:r>
      <w:sdt>
        <w:sdtPr>
          <w:rPr>
            <w:rFonts w:cstheme="minorHAnsi"/>
            <w:b/>
            <w:bCs/>
            <w:color w:val="000000"/>
            <w:sz w:val="20"/>
            <w:lang w:val="en-GB"/>
          </w:rPr>
          <w:id w:val="1542717781"/>
          <w:placeholder>
            <w:docPart w:val="0C9B927881FB404D820D8C56A9160356"/>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at</w:t>
      </w:r>
      <w:r w:rsidR="00C156F7">
        <w:rPr>
          <w:rFonts w:cstheme="minorHAnsi"/>
          <w:lang w:val="en-GB"/>
        </w:rPr>
        <w:t xml:space="preserve"> </w:t>
      </w:r>
      <w:sdt>
        <w:sdtPr>
          <w:rPr>
            <w:rFonts w:cstheme="minorHAnsi"/>
            <w:b/>
            <w:bCs/>
            <w:color w:val="000000"/>
            <w:sz w:val="20"/>
            <w:lang w:val="en-GB"/>
          </w:rPr>
          <w:id w:val="1621188719"/>
          <w:placeholder>
            <w:docPart w:val="2A10FFF3004C437D90429FF5E6BC5B04"/>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with Tax Registration No.</w:t>
      </w:r>
      <w:r w:rsidR="00C156F7" w:rsidRPr="00C156F7">
        <w:rPr>
          <w:rFonts w:cstheme="minorHAnsi"/>
          <w:b/>
          <w:bCs/>
          <w:color w:val="000000"/>
          <w:sz w:val="20"/>
          <w:lang w:val="en-GB"/>
        </w:rPr>
        <w:t xml:space="preserve"> </w:t>
      </w:r>
      <w:sdt>
        <w:sdtPr>
          <w:rPr>
            <w:rFonts w:cstheme="minorHAnsi"/>
            <w:b/>
            <w:bCs/>
            <w:color w:val="000000"/>
            <w:sz w:val="20"/>
            <w:lang w:val="en-GB"/>
          </w:rPr>
          <w:id w:val="-1437128689"/>
          <w:placeholder>
            <w:docPart w:val="8479DC2EE6C34A748A995B856AD9F3CC"/>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legally represented for the signing hereof by </w:t>
      </w:r>
      <w:sdt>
        <w:sdtPr>
          <w:rPr>
            <w:rFonts w:cstheme="minorHAnsi"/>
            <w:b/>
            <w:bCs/>
            <w:color w:val="000000"/>
            <w:sz w:val="20"/>
            <w:lang w:val="en-GB"/>
          </w:rPr>
          <w:id w:val="1659415263"/>
          <w:placeholder>
            <w:docPart w:val="BA3DA0EC1BAB48E09E9297D84CA93EB2"/>
          </w:placeholder>
          <w:showingPlcHdr/>
        </w:sdtPr>
        <w:sdtEndPr/>
        <w:sdtContent>
          <w:r w:rsidR="00C156F7" w:rsidRPr="007B3031">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which is a Clearing Member with code no.</w:t>
      </w:r>
      <w:r w:rsidR="00C156F7">
        <w:rPr>
          <w:rFonts w:cstheme="minorHAnsi"/>
          <w:lang w:val="en-GB"/>
        </w:rPr>
        <w:t xml:space="preserve"> </w:t>
      </w:r>
      <w:sdt>
        <w:sdtPr>
          <w:rPr>
            <w:rFonts w:cstheme="minorHAnsi"/>
            <w:b/>
            <w:bCs/>
            <w:color w:val="000000"/>
            <w:sz w:val="20"/>
            <w:lang w:val="en-GB"/>
          </w:rPr>
          <w:id w:val="986909232"/>
          <w:placeholder>
            <w:docPart w:val="FD5DA29E135E4166A54A946BF6F2F4CF"/>
          </w:placeholder>
          <w:showingPlcHdr/>
        </w:sdtPr>
        <w:sdtEndPr/>
        <w:sdtContent>
          <w:r w:rsidR="00C156F7" w:rsidRPr="00F85EBC">
            <w:rPr>
              <w:rFonts w:eastAsia="Calibri" w:cstheme="minorHAnsi"/>
              <w:color w:val="808080"/>
              <w:sz w:val="20"/>
              <w:lang w:val="en-US"/>
            </w:rPr>
            <w:t>Click or tap here to enter text.</w:t>
          </w:r>
        </w:sdtContent>
      </w:sdt>
      <w:r w:rsidRPr="00D0714E">
        <w:rPr>
          <w:rFonts w:cstheme="minorHAnsi"/>
          <w:lang w:val="en-GB"/>
        </w:rPr>
        <w:t xml:space="preserve"> in accordance with the terms of the </w:t>
      </w:r>
      <w:r w:rsidRPr="00FF2F56">
        <w:rPr>
          <w:rFonts w:cstheme="minorHAnsi"/>
          <w:lang w:val="en-GB"/>
        </w:rPr>
        <w:t xml:space="preserve">Clearing Rulebook </w:t>
      </w:r>
      <w:r w:rsidR="005C4285">
        <w:rPr>
          <w:rFonts w:cstheme="minorHAnsi"/>
          <w:lang w:val="en-GB"/>
        </w:rPr>
        <w:t>of</w:t>
      </w:r>
      <w:r w:rsidRPr="00FF2F56">
        <w:rPr>
          <w:rFonts w:cstheme="minorHAnsi"/>
          <w:lang w:val="en-GB"/>
        </w:rPr>
        <w:t xml:space="preserve"> </w:t>
      </w:r>
      <w:r w:rsidR="00985859" w:rsidRPr="00FF2F56">
        <w:rPr>
          <w:rFonts w:cstheme="minorHAnsi"/>
          <w:lang w:val="en-US"/>
        </w:rPr>
        <w:t>Positio</w:t>
      </w:r>
      <w:r w:rsidRPr="00FF2F56">
        <w:rPr>
          <w:rFonts w:cstheme="minorHAnsi"/>
          <w:lang w:val="en-GB"/>
        </w:rPr>
        <w:t xml:space="preserve">ns on </w:t>
      </w:r>
      <w:r w:rsidR="00985859" w:rsidRPr="00FF2F56">
        <w:rPr>
          <w:rFonts w:cstheme="minorHAnsi"/>
          <w:lang w:val="en-GB"/>
        </w:rPr>
        <w:t>Balancing</w:t>
      </w:r>
      <w:r w:rsidRPr="00FF2F56">
        <w:rPr>
          <w:rFonts w:cstheme="minorHAnsi"/>
          <w:lang w:val="en-GB"/>
        </w:rPr>
        <w:t xml:space="preserve"> Market</w:t>
      </w:r>
      <w:r w:rsidR="00AA12F2" w:rsidRPr="00FF2F56">
        <w:rPr>
          <w:rFonts w:cstheme="minorHAnsi"/>
          <w:lang w:val="en-US"/>
        </w:rPr>
        <w:t xml:space="preserve"> </w:t>
      </w:r>
      <w:r w:rsidRPr="00FF2F56">
        <w:rPr>
          <w:rFonts w:cstheme="minorHAnsi"/>
          <w:lang w:val="en-GB"/>
        </w:rPr>
        <w:t>(Resolution XX/XX.XX.20XX</w:t>
      </w:r>
      <w:r w:rsidR="00433D99">
        <w:rPr>
          <w:rStyle w:val="FootnoteReference"/>
          <w:rFonts w:cstheme="minorHAnsi"/>
          <w:lang w:val="en-GB"/>
        </w:rPr>
        <w:footnoteReference w:id="1"/>
      </w:r>
      <w:r w:rsidRPr="00FF2F56">
        <w:rPr>
          <w:rFonts w:cstheme="minorHAnsi"/>
          <w:lang w:val="en-GB"/>
        </w:rPr>
        <w:t xml:space="preserve"> of RAE (Government Gazette B XXX/XX.XX.20XX</w:t>
      </w:r>
      <w:r w:rsidR="00433D99">
        <w:rPr>
          <w:rStyle w:val="FootnoteReference"/>
          <w:rFonts w:cstheme="minorHAnsi"/>
          <w:lang w:val="en-GB"/>
        </w:rPr>
        <w:footnoteReference w:id="2"/>
      </w:r>
      <w:r w:rsidRPr="00FF2F56">
        <w:rPr>
          <w:rFonts w:cstheme="minorHAnsi"/>
          <w:lang w:val="en-GB"/>
        </w:rPr>
        <w:t xml:space="preserve">) (hereinafter “Clearing Rulebook”) </w:t>
      </w:r>
    </w:p>
    <w:p w14:paraId="0562D4B7" w14:textId="77777777" w:rsidR="00377968" w:rsidRPr="005A2CF7" w:rsidRDefault="00377968" w:rsidP="00377968">
      <w:pPr>
        <w:spacing w:before="120" w:after="120" w:line="240" w:lineRule="atLeast"/>
        <w:rPr>
          <w:rFonts w:cstheme="minorHAnsi"/>
          <w:b/>
          <w:lang w:val="en-GB"/>
        </w:rPr>
      </w:pPr>
      <w:r w:rsidRPr="005A2CF7">
        <w:rPr>
          <w:rFonts w:cstheme="minorHAnsi"/>
          <w:b/>
          <w:lang w:val="en-GB"/>
        </w:rPr>
        <w:t>Having regard to:</w:t>
      </w:r>
    </w:p>
    <w:p w14:paraId="0D0A974F" w14:textId="77777777" w:rsidR="00D10EA0" w:rsidRDefault="00377968" w:rsidP="00377968">
      <w:pPr>
        <w:pStyle w:val="ListParagraph"/>
        <w:numPr>
          <w:ilvl w:val="0"/>
          <w:numId w:val="5"/>
        </w:numPr>
        <w:spacing w:after="0" w:line="360" w:lineRule="auto"/>
        <w:jc w:val="both"/>
        <w:rPr>
          <w:rFonts w:cstheme="minorHAnsi"/>
          <w:lang w:val="en-GB"/>
        </w:rPr>
      </w:pPr>
      <w:r w:rsidRPr="005A2CF7">
        <w:rPr>
          <w:rFonts w:cstheme="minorHAnsi"/>
          <w:lang w:val="en-GB"/>
        </w:rPr>
        <w:lastRenderedPageBreak/>
        <w:t>Guideline ECB/2012/27 “</w:t>
      </w:r>
      <w:r w:rsidRPr="00D10EA0">
        <w:rPr>
          <w:rFonts w:cstheme="minorHAnsi"/>
          <w:lang w:val="en-GB"/>
        </w:rPr>
        <w:t xml:space="preserve">on a Trans-European Automated Real-time Gross settlement Express Transfer system (TARGET2)” </w:t>
      </w:r>
      <w:r w:rsidRPr="005A2CF7">
        <w:rPr>
          <w:rFonts w:cstheme="minorHAnsi"/>
          <w:lang w:val="en-GB"/>
        </w:rPr>
        <w:t>as in force from time to time</w:t>
      </w:r>
      <w:r w:rsidRPr="00D10EA0">
        <w:rPr>
          <w:rFonts w:cstheme="minorHAnsi"/>
          <w:lang w:val="en-GB"/>
        </w:rPr>
        <w:t>.</w:t>
      </w:r>
    </w:p>
    <w:p w14:paraId="5E3C5474" w14:textId="77777777"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Regulations on the Operation of the Real-time Gross settlement Express Transfer system </w:t>
      </w:r>
      <w:r w:rsidRPr="00D10EA0">
        <w:rPr>
          <w:rFonts w:cstheme="minorHAnsi"/>
          <w:u w:val="single"/>
          <w:lang w:val="en-GB"/>
        </w:rPr>
        <w:t xml:space="preserve">TARGET2-GR </w:t>
      </w:r>
      <w:r w:rsidRPr="00D10EA0">
        <w:rPr>
          <w:rFonts w:cstheme="minorHAnsi"/>
          <w:lang w:val="en-GB"/>
        </w:rPr>
        <w:t>(hereinafter “TARGET2-GR Operating Regulations”) dated 22/6/2015, as in force.</w:t>
      </w:r>
    </w:p>
    <w:p w14:paraId="6FC1B25D" w14:textId="3372334E" w:rsidR="00D10EA0" w:rsidRPr="00FF2F56"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fact that EnExClear, acting as Clearing House, in accordance with articles 12 through 14 of the Law 4425/2016, performs the cash </w:t>
      </w:r>
      <w:r w:rsidRPr="00FF2F56">
        <w:rPr>
          <w:rFonts w:cstheme="minorHAnsi"/>
          <w:lang w:val="en-GB"/>
        </w:rPr>
        <w:t xml:space="preserve">settlement of </w:t>
      </w:r>
      <w:r w:rsidR="00985859" w:rsidRPr="00FF2F56">
        <w:rPr>
          <w:rFonts w:cstheme="minorHAnsi"/>
          <w:lang w:val="en-GB"/>
        </w:rPr>
        <w:t>positions</w:t>
      </w:r>
      <w:r w:rsidRPr="00FF2F56">
        <w:rPr>
          <w:rFonts w:cstheme="minorHAnsi"/>
          <w:lang w:val="en-GB"/>
        </w:rPr>
        <w:t xml:space="preserve"> on </w:t>
      </w:r>
      <w:r w:rsidR="00985859" w:rsidRPr="00FF2F56">
        <w:rPr>
          <w:rFonts w:cstheme="minorHAnsi"/>
          <w:lang w:val="en-GB"/>
        </w:rPr>
        <w:t xml:space="preserve">Balancing </w:t>
      </w:r>
      <w:r w:rsidRPr="00FF2F56">
        <w:rPr>
          <w:rFonts w:cstheme="minorHAnsi"/>
          <w:lang w:val="en-GB"/>
        </w:rPr>
        <w:t>Market within the framework of the provision of relevant services to the Clearing Members participating in the Clearing System of EnExClear.</w:t>
      </w:r>
    </w:p>
    <w:p w14:paraId="693A1CC9" w14:textId="4350B881" w:rsidR="00D10EA0" w:rsidRDefault="00377968" w:rsidP="00377968">
      <w:pPr>
        <w:pStyle w:val="ListParagraph"/>
        <w:numPr>
          <w:ilvl w:val="0"/>
          <w:numId w:val="5"/>
        </w:numPr>
        <w:spacing w:after="0" w:line="360" w:lineRule="auto"/>
        <w:jc w:val="both"/>
        <w:rPr>
          <w:rFonts w:cstheme="minorHAnsi"/>
          <w:lang w:val="en-GB"/>
        </w:rPr>
      </w:pPr>
      <w:r w:rsidRPr="00FF2F56">
        <w:rPr>
          <w:rFonts w:cstheme="minorHAnsi"/>
          <w:lang w:val="en-GB"/>
        </w:rPr>
        <w:t xml:space="preserve">The fact that the cash settlement of </w:t>
      </w:r>
      <w:r w:rsidR="00985859" w:rsidRPr="00FF2F56">
        <w:rPr>
          <w:rFonts w:cstheme="minorHAnsi"/>
          <w:lang w:val="en-GB"/>
        </w:rPr>
        <w:t>positions</w:t>
      </w:r>
      <w:r w:rsidRPr="00FF2F56">
        <w:rPr>
          <w:rFonts w:cstheme="minorHAnsi"/>
          <w:lang w:val="en-GB"/>
        </w:rPr>
        <w:t xml:space="preserve"> is carried</w:t>
      </w:r>
      <w:r w:rsidRPr="00D10EA0">
        <w:rPr>
          <w:rFonts w:cstheme="minorHAnsi"/>
          <w:lang w:val="en-GB"/>
        </w:rPr>
        <w:t xml:space="preserve"> out through TARGET2-GR (as a component of TARGET2), which is operated by the Bank of Greece, in accordance with the provisions of TARGET2-GR Operating Regulations, as well as the fact that EnExClear’s relevant settlement system, which is an “ancillary system” in the sense of TARGET2-GR Operating Regulations, (hereinafter “EnExClear Ancillary System”), has been connected with TARGET-2-GR. </w:t>
      </w:r>
    </w:p>
    <w:p w14:paraId="32B475DF" w14:textId="77777777"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terms of operation of settlement banks pursuant to TARGET2-GR Operating Regulations which may provide cash settlement services, through TARGET2-GR at the Bank of Greece, to ancillary systems and to participants therein (Settlement Banks).  </w:t>
      </w:r>
    </w:p>
    <w:p w14:paraId="04DADF30" w14:textId="5C36BACE"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The fact that the Settlement Bank has submitted all the necessary, as above, declarations (“TARGET2 form of collection of Static Data – Debit mandate for AS settlement –“ [Form 2002] dated</w:t>
      </w:r>
      <w:r w:rsidR="00C156F7">
        <w:rPr>
          <w:rFonts w:cstheme="minorHAnsi"/>
          <w:lang w:val="en-GB"/>
        </w:rPr>
        <w:t xml:space="preserve"> </w:t>
      </w:r>
      <w:sdt>
        <w:sdtPr>
          <w:rPr>
            <w:rFonts w:cstheme="minorHAnsi"/>
            <w:lang w:val="en-GB"/>
          </w:rPr>
          <w:id w:val="-1431663110"/>
          <w:placeholder>
            <w:docPart w:val="DefaultPlaceholder_-1854013437"/>
          </w:placeholder>
          <w:showingPlcHdr/>
          <w:date>
            <w:dateFormat w:val="dd/MM/yyyy"/>
            <w:lid w:val="en-150"/>
            <w:storeMappedDataAs w:val="dateTime"/>
            <w:calendar w:val="gregorian"/>
          </w:date>
        </w:sdtPr>
        <w:sdtEndPr/>
        <w:sdtContent>
          <w:r w:rsidR="00C156F7" w:rsidRPr="007B3031">
            <w:rPr>
              <w:rStyle w:val="PlaceholderText"/>
              <w:shd w:val="clear" w:color="auto" w:fill="E7E6E6" w:themeFill="background2"/>
              <w:lang w:val="en-US"/>
            </w:rPr>
            <w:t>Click or tap to enter a date.</w:t>
          </w:r>
        </w:sdtContent>
      </w:sdt>
      <w:r w:rsidRPr="00D10EA0">
        <w:rPr>
          <w:rFonts w:cstheme="minorHAnsi"/>
          <w:lang w:val="en-GB"/>
        </w:rPr>
        <w:t>and “DECLARATION &amp; SPECIAL TERMS ON THE PROVISION OF SETTLEMENT BANK SERVICES TO THE ENEXCLEAR ANCILLARY SYSTEM IN THE FRAMEWORK OF TARGET2-GR” dated</w:t>
      </w:r>
      <w:r w:rsidR="00C156F7">
        <w:rPr>
          <w:rFonts w:cstheme="minorHAnsi"/>
          <w:lang w:val="en-GB"/>
        </w:rPr>
        <w:t xml:space="preserve"> </w:t>
      </w:r>
      <w:sdt>
        <w:sdtPr>
          <w:rPr>
            <w:rFonts w:cstheme="minorHAnsi"/>
            <w:lang w:val="en-GB"/>
          </w:rPr>
          <w:id w:val="-1317031993"/>
          <w:placeholder>
            <w:docPart w:val="DefaultPlaceholder_-1854013437"/>
          </w:placeholder>
          <w:showingPlcHdr/>
          <w:date>
            <w:dateFormat w:val="dd/MM/yyyy"/>
            <w:lid w:val="en-150"/>
            <w:storeMappedDataAs w:val="dateTime"/>
            <w:calendar w:val="gregorian"/>
          </w:date>
        </w:sdtPr>
        <w:sdtEndPr/>
        <w:sdtContent>
          <w:r w:rsidR="00C156F7" w:rsidRPr="007B3031">
            <w:rPr>
              <w:rStyle w:val="PlaceholderText"/>
              <w:shd w:val="clear" w:color="auto" w:fill="E7E6E6" w:themeFill="background2"/>
              <w:lang w:val="en-US"/>
            </w:rPr>
            <w:t>Click or tap to enter a date.</w:t>
          </w:r>
        </w:sdtContent>
      </w:sdt>
      <w:r w:rsidRPr="00D10EA0">
        <w:rPr>
          <w:rFonts w:cstheme="minorHAnsi"/>
          <w:lang w:val="en-GB"/>
        </w:rPr>
        <w:t xml:space="preserve">) to EnExClear and as a consequence is acting as a Settlement Bank in respect of the EnExClear Ancillary System, in accordance with TARGET2-GR Operating Regulations and EnExClear’s procedures. </w:t>
      </w:r>
    </w:p>
    <w:p w14:paraId="55810FA7" w14:textId="0DE3CE2F" w:rsidR="00377968" w:rsidRP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The declaration “TARGET2 form collection of Static Data – Sub Account for dedicated liquidity –” (Form 1014) dated</w:t>
      </w:r>
      <w:r w:rsidR="00C156F7">
        <w:rPr>
          <w:rFonts w:cstheme="minorHAnsi"/>
          <w:lang w:val="en-GB"/>
        </w:rPr>
        <w:t xml:space="preserve"> </w:t>
      </w:r>
      <w:sdt>
        <w:sdtPr>
          <w:rPr>
            <w:rFonts w:cstheme="minorHAnsi"/>
            <w:lang w:val="en-GB"/>
          </w:rPr>
          <w:id w:val="-1640558979"/>
          <w:placeholder>
            <w:docPart w:val="DefaultPlaceholder_-1854013437"/>
          </w:placeholder>
          <w:showingPlcHdr/>
          <w:date>
            <w:dateFormat w:val="dd/MM/yyyy"/>
            <w:lid w:val="en-150"/>
            <w:storeMappedDataAs w:val="dateTime"/>
            <w:calendar w:val="gregorian"/>
          </w:date>
        </w:sdtPr>
        <w:sdtEndPr/>
        <w:sdtContent>
          <w:r w:rsidR="00C156F7" w:rsidRPr="007B3031">
            <w:rPr>
              <w:rStyle w:val="PlaceholderText"/>
              <w:shd w:val="clear" w:color="auto" w:fill="E7E6E6" w:themeFill="background2"/>
              <w:lang w:val="en-US"/>
            </w:rPr>
            <w:t>Click or tap to enter a date.</w:t>
          </w:r>
        </w:sdtContent>
      </w:sdt>
      <w:r w:rsidRPr="00D10EA0">
        <w:rPr>
          <w:rFonts w:cstheme="minorHAnsi"/>
          <w:lang w:val="en-GB"/>
        </w:rPr>
        <w:t xml:space="preserve">, as signed by the Settlement Bank and attached hereto (in the original or photocopy, as instructed by EnExClear) on the basis of which the Settlement Bank will open a sub-account for the Clearing Member in TARGET2-GR at the Bank of Greece through submission of the declaration to the Bank of Greece by the Settlement Bank or by EnExClear, depending on the procedures followed by EnExClear. </w:t>
      </w:r>
    </w:p>
    <w:p w14:paraId="53425395" w14:textId="47E46F38" w:rsidR="00377968" w:rsidRDefault="00377968" w:rsidP="00377968">
      <w:pPr>
        <w:spacing w:after="0"/>
        <w:jc w:val="both"/>
        <w:rPr>
          <w:rFonts w:cstheme="minorHAnsi"/>
          <w:lang w:val="en-GB"/>
        </w:rPr>
      </w:pPr>
    </w:p>
    <w:p w14:paraId="218B8845" w14:textId="00F77924" w:rsidR="0057766E" w:rsidRDefault="0057766E" w:rsidP="00377968">
      <w:pPr>
        <w:spacing w:after="0"/>
        <w:jc w:val="both"/>
        <w:rPr>
          <w:rFonts w:cstheme="minorHAnsi"/>
          <w:lang w:val="en-GB"/>
        </w:rPr>
      </w:pPr>
    </w:p>
    <w:p w14:paraId="30EF04CA" w14:textId="77777777" w:rsidR="0057766E" w:rsidRPr="005A2CF7" w:rsidRDefault="0057766E" w:rsidP="00377968">
      <w:pPr>
        <w:spacing w:after="0"/>
        <w:jc w:val="both"/>
        <w:rPr>
          <w:rFonts w:cstheme="minorHAnsi"/>
          <w:lang w:val="en-GB"/>
        </w:rPr>
      </w:pPr>
    </w:p>
    <w:p w14:paraId="328D53C5" w14:textId="77777777" w:rsidR="00377968" w:rsidRPr="005A2CF7" w:rsidRDefault="00377968" w:rsidP="00377968">
      <w:pPr>
        <w:spacing w:before="120" w:after="120" w:line="240" w:lineRule="atLeast"/>
        <w:jc w:val="center"/>
        <w:rPr>
          <w:rFonts w:cstheme="minorHAnsi"/>
          <w:b/>
          <w:lang w:val="en-GB"/>
        </w:rPr>
      </w:pPr>
      <w:r w:rsidRPr="005A2CF7">
        <w:rPr>
          <w:rFonts w:cstheme="minorHAnsi"/>
          <w:b/>
          <w:lang w:val="en-GB"/>
        </w:rPr>
        <w:lastRenderedPageBreak/>
        <w:t>Hereby declare the following:</w:t>
      </w:r>
    </w:p>
    <w:p w14:paraId="72D381D5" w14:textId="78BBAEEF" w:rsidR="00377968" w:rsidRPr="005A2CF7" w:rsidRDefault="00377968" w:rsidP="00D10EA0">
      <w:pPr>
        <w:spacing w:after="0" w:line="360" w:lineRule="auto"/>
        <w:jc w:val="both"/>
        <w:rPr>
          <w:rFonts w:ascii="Calibri" w:eastAsia="Calibri" w:hAnsi="Calibri" w:cs="Arial"/>
          <w:b/>
          <w:bCs/>
          <w:color w:val="000000"/>
          <w:lang w:val="en-GB"/>
        </w:rPr>
      </w:pPr>
      <w:r w:rsidRPr="005A2CF7">
        <w:rPr>
          <w:rFonts w:cstheme="minorHAnsi"/>
          <w:lang w:val="en-GB"/>
        </w:rPr>
        <w:t xml:space="preserve">The Settlement Bank and the Clearing Member have agreed that the former should provide the latter with services relating to the EnExClear Ancillary System in order to facilitate the Clearing Member in its cash settlement of </w:t>
      </w:r>
      <w:r w:rsidR="005C4285">
        <w:rPr>
          <w:rFonts w:cstheme="minorHAnsi"/>
          <w:lang w:val="en-GB"/>
        </w:rPr>
        <w:t>Position</w:t>
      </w:r>
      <w:r w:rsidRPr="005A2CF7">
        <w:rPr>
          <w:rFonts w:cstheme="minorHAnsi"/>
          <w:lang w:val="en-GB"/>
        </w:rPr>
        <w:t>s</w:t>
      </w:r>
      <w:r w:rsidR="005C4285">
        <w:rPr>
          <w:rFonts w:cstheme="minorHAnsi"/>
          <w:lang w:val="en-GB"/>
        </w:rPr>
        <w:t xml:space="preserve"> on Balancing Market</w:t>
      </w:r>
      <w:r w:rsidRPr="005A2CF7">
        <w:rPr>
          <w:rFonts w:cstheme="minorHAnsi"/>
          <w:lang w:val="en-GB"/>
        </w:rPr>
        <w:t>, in accordance with TARGET2-GR Operating Regulations and the “Special Terms on the Provision of Settlement Bank Services to the EnExClear Ancillary System” to which the Settlement Bank has acceded by virtue of its “DECLARATION &amp; SPECIAL TERMS ON THE PROVISION OF SETTLEMENT BANK SERVICES TO THE ENEXCLEAR ANCILLARY SYSTEM IN THE FRAMEWORK OF TARGET2-GR”, dated</w:t>
      </w:r>
      <w:r w:rsidR="00985859">
        <w:rPr>
          <w:rFonts w:cstheme="minorHAnsi"/>
          <w:lang w:val="en-GB"/>
        </w:rPr>
        <w:t xml:space="preserve"> </w:t>
      </w:r>
      <w:sdt>
        <w:sdtPr>
          <w:rPr>
            <w:rFonts w:cstheme="minorHAnsi"/>
            <w:lang w:val="en-GB"/>
          </w:rPr>
          <w:id w:val="-1364749048"/>
          <w:placeholder>
            <w:docPart w:val="DefaultPlaceholder_-1854013437"/>
          </w:placeholder>
          <w:showingPlcHdr/>
          <w:date>
            <w:dateFormat w:val="dd/MM/yyyy"/>
            <w:lid w:val="en-150"/>
            <w:storeMappedDataAs w:val="dateTime"/>
            <w:calendar w:val="gregorian"/>
          </w:date>
        </w:sdtPr>
        <w:sdtEndPr/>
        <w:sdtContent>
          <w:r w:rsidR="00985859" w:rsidRPr="007B3031">
            <w:rPr>
              <w:rStyle w:val="PlaceholderText"/>
              <w:shd w:val="clear" w:color="auto" w:fill="E7E6E6" w:themeFill="background2"/>
              <w:lang w:val="en-US"/>
            </w:rPr>
            <w:t>Click or tap to enter a date.</w:t>
          </w:r>
        </w:sdtContent>
      </w:sdt>
      <w:r w:rsidRPr="005A2CF7">
        <w:rPr>
          <w:rFonts w:cstheme="minorHAnsi"/>
          <w:lang w:val="en-GB"/>
        </w:rPr>
        <w:t>, to EnExClear.</w:t>
      </w:r>
    </w:p>
    <w:p w14:paraId="3728BD58" w14:textId="415C34BA" w:rsidR="00377968" w:rsidRPr="005A2CF7" w:rsidRDefault="00377968" w:rsidP="00D10EA0">
      <w:pPr>
        <w:spacing w:after="0" w:line="360" w:lineRule="auto"/>
        <w:jc w:val="both"/>
        <w:rPr>
          <w:rFonts w:cstheme="minorHAnsi"/>
          <w:lang w:val="en-GB"/>
        </w:rPr>
      </w:pPr>
      <w:r w:rsidRPr="005A2CF7">
        <w:rPr>
          <w:rFonts w:cstheme="minorHAnsi"/>
          <w:lang w:val="en-GB"/>
        </w:rPr>
        <w:t>As part of this agreement, the Settlement Bank shall open and keep for the Clearing Member all</w:t>
      </w:r>
      <w:r w:rsidR="005A2CF7">
        <w:rPr>
          <w:rFonts w:cstheme="minorHAnsi"/>
          <w:lang w:val="en-GB"/>
        </w:rPr>
        <w:t xml:space="preserve"> </w:t>
      </w:r>
      <w:r w:rsidRPr="005A2CF7">
        <w:rPr>
          <w:rFonts w:cstheme="minorHAnsi"/>
          <w:lang w:val="en-GB"/>
        </w:rPr>
        <w:t>necessary subaccounts, as instructed, in TARGET2-GR, under its cash settlement account (“PM account” [Payments Module]) in TARGET2-GR at the Bank of Greece, on the basis of its declaration “TARGET2 form collection of Static Data - Sub Account for dedicated liquidity –“  (Form 1014) dated</w:t>
      </w:r>
      <w:r w:rsidR="00C156F7">
        <w:rPr>
          <w:rFonts w:cstheme="minorHAnsi"/>
          <w:lang w:val="en-GB"/>
        </w:rPr>
        <w:t xml:space="preserve"> </w:t>
      </w:r>
      <w:sdt>
        <w:sdtPr>
          <w:rPr>
            <w:rFonts w:cstheme="minorHAnsi"/>
            <w:b/>
            <w:bCs/>
            <w:color w:val="000000"/>
            <w:sz w:val="20"/>
            <w:lang w:val="en-GB"/>
          </w:rPr>
          <w:id w:val="2102681387"/>
          <w:placeholder>
            <w:docPart w:val="B8EF3192D60B4EC7812DCAF2498D7FC5"/>
          </w:placeholder>
        </w:sdtPr>
        <w:sdtEndPr/>
        <w:sdtContent>
          <w:sdt>
            <w:sdtPr>
              <w:rPr>
                <w:rFonts w:cstheme="minorHAnsi"/>
                <w:b/>
                <w:bCs/>
                <w:color w:val="000000"/>
                <w:sz w:val="20"/>
                <w:lang w:val="en-GB"/>
              </w:rPr>
              <w:id w:val="-2092071181"/>
              <w:placeholder>
                <w:docPart w:val="DefaultPlaceholder_-1854013437"/>
              </w:placeholder>
              <w:showingPlcHdr/>
              <w:date>
                <w:dateFormat w:val="dd/MM/yyyy"/>
                <w:lid w:val="en-150"/>
                <w:storeMappedDataAs w:val="dateTime"/>
                <w:calendar w:val="gregorian"/>
              </w:date>
            </w:sdtPr>
            <w:sdtEndPr/>
            <w:sdtContent>
              <w:r w:rsidR="00C156F7" w:rsidRPr="007B3031">
                <w:rPr>
                  <w:rStyle w:val="PlaceholderText"/>
                  <w:shd w:val="clear" w:color="auto" w:fill="E7E6E6" w:themeFill="background2"/>
                  <w:lang w:val="en-US"/>
                </w:rPr>
                <w:t>Click or tap to enter a date.</w:t>
              </w:r>
            </w:sdtContent>
          </w:sdt>
        </w:sdtContent>
      </w:sdt>
      <w:r w:rsidRPr="005A2CF7">
        <w:rPr>
          <w:rFonts w:cstheme="minorHAnsi"/>
          <w:lang w:val="en-GB"/>
        </w:rPr>
        <w:t>, as same is attached (under 8) and in accordance with the terms hereof. The Settlement Bank, being aware of its respective obligations, shall take all necessary steps to provide the Clearing Member with settlement bank services and shall inform EnExClear accordingly, pursuant to TARGET2-GR Operating Regulations and EnExClear’s procedures.</w:t>
      </w:r>
    </w:p>
    <w:p w14:paraId="30F4A147" w14:textId="77777777" w:rsidR="00377968" w:rsidRPr="005A2CF7" w:rsidRDefault="00377968" w:rsidP="00D10EA0">
      <w:pPr>
        <w:spacing w:after="0" w:line="360" w:lineRule="auto"/>
        <w:jc w:val="both"/>
        <w:rPr>
          <w:rFonts w:cstheme="minorHAnsi"/>
          <w:lang w:val="en-GB"/>
        </w:rPr>
      </w:pPr>
      <w:r w:rsidRPr="005A2CF7">
        <w:rPr>
          <w:rFonts w:cstheme="minorHAnsi"/>
          <w:lang w:val="en-GB"/>
        </w:rPr>
        <w:t xml:space="preserve">The Clearing Member has accepted the provision of settlement bank services by the Settlement Bank, in accordance with the above terms and shall fulfil its cash settlement obligations through the aforesaid sub-accounts. </w:t>
      </w:r>
    </w:p>
    <w:p w14:paraId="33DBDF22" w14:textId="027BBC44" w:rsidR="00377968" w:rsidRPr="00FF2F56" w:rsidRDefault="00377968" w:rsidP="00D10EA0">
      <w:pPr>
        <w:spacing w:after="0" w:line="360" w:lineRule="auto"/>
        <w:jc w:val="both"/>
        <w:rPr>
          <w:rFonts w:cstheme="minorHAnsi"/>
          <w:lang w:val="en-GB"/>
        </w:rPr>
      </w:pPr>
      <w:r w:rsidRPr="005A2CF7">
        <w:rPr>
          <w:rFonts w:cstheme="minorHAnsi"/>
          <w:lang w:val="en-GB"/>
        </w:rPr>
        <w:t xml:space="preserve">More specifically, the Settlement Bank shall open upon simple request of the Clearing Member a sub-account that will be </w:t>
      </w:r>
      <w:r w:rsidRPr="00FF2F56">
        <w:rPr>
          <w:rFonts w:cstheme="minorHAnsi"/>
          <w:lang w:val="en-GB"/>
        </w:rPr>
        <w:t>designated as a</w:t>
      </w:r>
      <w:r w:rsidR="00045632" w:rsidRPr="00FF2F56">
        <w:rPr>
          <w:rFonts w:cstheme="minorHAnsi"/>
          <w:lang w:val="en-GB"/>
        </w:rPr>
        <w:t xml:space="preserve"> Balancing </w:t>
      </w:r>
      <w:r w:rsidRPr="00FF2F56">
        <w:rPr>
          <w:rFonts w:cstheme="minorHAnsi"/>
          <w:lang w:val="en-GB"/>
        </w:rPr>
        <w:t xml:space="preserve">Sub-Account. </w:t>
      </w:r>
    </w:p>
    <w:p w14:paraId="150BF9FD" w14:textId="6E64D181" w:rsidR="00377968" w:rsidRPr="00FF2F56" w:rsidRDefault="00377968" w:rsidP="00D10EA0">
      <w:pPr>
        <w:spacing w:after="0" w:line="360" w:lineRule="auto"/>
        <w:jc w:val="both"/>
        <w:rPr>
          <w:rFonts w:eastAsia="Calibri" w:cstheme="minorHAnsi"/>
          <w:color w:val="000000"/>
          <w:lang w:val="en-GB"/>
        </w:rPr>
      </w:pPr>
      <w:r w:rsidRPr="00FF2F56">
        <w:rPr>
          <w:rFonts w:eastAsia="Calibri" w:cstheme="minorHAnsi"/>
          <w:color w:val="000000"/>
          <w:lang w:val="en-GB"/>
        </w:rPr>
        <w:t xml:space="preserve">The Sub-Account shall be identified as such by a specific title of the form </w:t>
      </w:r>
      <w:r w:rsidRPr="00FF2F56">
        <w:rPr>
          <w:rFonts w:eastAsia="Calibri" w:cstheme="minorHAnsi"/>
          <w:b/>
          <w:bCs/>
          <w:color w:val="000000"/>
          <w:lang w:val="en-GB"/>
        </w:rPr>
        <w:t>SB</w:t>
      </w:r>
      <w:r w:rsidRPr="0057766E">
        <w:rPr>
          <w:rFonts w:eastAsia="Calibri" w:cstheme="minorHAnsi"/>
          <w:b/>
          <w:bCs/>
          <w:color w:val="000000"/>
          <w:lang w:val="en-GB"/>
        </w:rPr>
        <w:t>-</w:t>
      </w:r>
      <w:r w:rsidRPr="00FF2F56">
        <w:rPr>
          <w:rFonts w:eastAsia="Calibri" w:cstheme="minorHAnsi"/>
          <w:b/>
          <w:bCs/>
          <w:color w:val="000000"/>
          <w:lang w:val="en-GB"/>
        </w:rPr>
        <w:t>CM</w:t>
      </w:r>
      <w:r w:rsidRPr="0057766E">
        <w:rPr>
          <w:rFonts w:eastAsia="Calibri" w:cstheme="minorHAnsi"/>
          <w:b/>
          <w:bCs/>
          <w:color w:val="000000"/>
          <w:lang w:val="en-GB"/>
        </w:rPr>
        <w:t>-</w:t>
      </w:r>
      <w:r w:rsidR="00735BE9" w:rsidRPr="0057766E">
        <w:rPr>
          <w:rFonts w:eastAsia="Calibri" w:cstheme="minorHAnsi"/>
          <w:b/>
          <w:bCs/>
          <w:color w:val="000000"/>
          <w:lang w:val="en-GB"/>
        </w:rPr>
        <w:t>B</w:t>
      </w:r>
      <w:r w:rsidRPr="00FF2F56">
        <w:rPr>
          <w:rFonts w:eastAsia="Calibri" w:cstheme="minorHAnsi"/>
          <w:bCs/>
          <w:lang w:val="en-GB"/>
        </w:rPr>
        <w:t>,</w:t>
      </w:r>
      <w:r w:rsidRPr="00FF2F56">
        <w:rPr>
          <w:rFonts w:eastAsia="Calibri" w:cstheme="minorHAnsi"/>
          <w:color w:val="000000"/>
          <w:lang w:val="en-GB"/>
        </w:rPr>
        <w:t xml:space="preserve"> where:  </w:t>
      </w:r>
    </w:p>
    <w:p w14:paraId="07822233" w14:textId="77777777" w:rsidR="00377968" w:rsidRPr="00FF2F56" w:rsidRDefault="00377968" w:rsidP="00D10EA0">
      <w:pPr>
        <w:spacing w:after="0" w:line="360" w:lineRule="auto"/>
        <w:jc w:val="both"/>
        <w:rPr>
          <w:rFonts w:eastAsia="Calibri" w:cstheme="minorHAnsi"/>
          <w:color w:val="000000"/>
          <w:lang w:val="en-GB"/>
        </w:rPr>
      </w:pPr>
      <w:r w:rsidRPr="00FF2F56">
        <w:rPr>
          <w:rFonts w:eastAsia="Calibri" w:cstheme="minorHAnsi"/>
          <w:color w:val="000000"/>
          <w:lang w:val="en-GB"/>
        </w:rPr>
        <w:t xml:space="preserve">SB = the relevant field shall be specified by the first 6 characters of the Settlement Bank’s BIC (6 characters maximum), </w:t>
      </w:r>
    </w:p>
    <w:p w14:paraId="2666B65A" w14:textId="77777777" w:rsidR="00377968" w:rsidRPr="00FF2F56" w:rsidRDefault="00377968" w:rsidP="00D10EA0">
      <w:pPr>
        <w:spacing w:after="0" w:line="360" w:lineRule="auto"/>
        <w:jc w:val="both"/>
        <w:rPr>
          <w:rFonts w:eastAsia="Calibri" w:cstheme="minorHAnsi"/>
          <w:color w:val="000000"/>
          <w:lang w:val="en-GB"/>
        </w:rPr>
      </w:pPr>
      <w:r w:rsidRPr="00FF2F56">
        <w:rPr>
          <w:rFonts w:eastAsia="Calibri" w:cstheme="minorHAnsi"/>
          <w:color w:val="000000"/>
          <w:lang w:val="en-GB"/>
        </w:rPr>
        <w:t xml:space="preserve">CM = the relevant field shall be specified by the code of the Clearing Member for which the sub-account is being opened (3 characters), </w:t>
      </w:r>
    </w:p>
    <w:p w14:paraId="4D6E5A89" w14:textId="7E15B9B9" w:rsidR="00377968" w:rsidRPr="005A2CF7" w:rsidRDefault="00735BE9" w:rsidP="00D10EA0">
      <w:pPr>
        <w:spacing w:after="0" w:line="360" w:lineRule="auto"/>
        <w:jc w:val="both"/>
        <w:rPr>
          <w:rFonts w:eastAsia="Calibri" w:cstheme="minorHAnsi"/>
          <w:color w:val="000000"/>
          <w:lang w:val="en-GB"/>
        </w:rPr>
      </w:pPr>
      <w:r>
        <w:rPr>
          <w:rFonts w:eastAsia="Calibri" w:cstheme="minorHAnsi"/>
          <w:color w:val="000000"/>
          <w:lang w:val="en-GB"/>
        </w:rPr>
        <w:t>B</w:t>
      </w:r>
      <w:r w:rsidR="00377968" w:rsidRPr="00FF2F56">
        <w:rPr>
          <w:rFonts w:eastAsia="Calibri" w:cstheme="minorHAnsi"/>
          <w:color w:val="000000"/>
          <w:lang w:val="en-GB"/>
        </w:rPr>
        <w:t xml:space="preserve"> = the relevant field shall be specified by the letter </w:t>
      </w:r>
      <w:r w:rsidR="00045632" w:rsidRPr="00FF2F56">
        <w:rPr>
          <w:rFonts w:eastAsia="Calibri" w:cstheme="minorHAnsi"/>
          <w:color w:val="000000"/>
          <w:lang w:val="en-GB"/>
        </w:rPr>
        <w:t>B</w:t>
      </w:r>
      <w:r w:rsidR="00377968" w:rsidRPr="00FF2F56">
        <w:rPr>
          <w:rFonts w:eastAsia="Calibri" w:cstheme="minorHAnsi"/>
          <w:color w:val="000000"/>
          <w:lang w:val="en-GB"/>
        </w:rPr>
        <w:t xml:space="preserve"> in the case of </w:t>
      </w:r>
      <w:r w:rsidR="00045632" w:rsidRPr="00FF2F56">
        <w:rPr>
          <w:rFonts w:eastAsia="Calibri" w:cstheme="minorHAnsi"/>
          <w:color w:val="000000"/>
          <w:lang w:val="en-GB"/>
        </w:rPr>
        <w:t>Balancing</w:t>
      </w:r>
      <w:r>
        <w:rPr>
          <w:rFonts w:eastAsia="Calibri" w:cstheme="minorHAnsi"/>
          <w:color w:val="000000"/>
          <w:lang w:val="en-GB"/>
        </w:rPr>
        <w:t xml:space="preserve"> </w:t>
      </w:r>
      <w:r w:rsidRPr="00FF2F56">
        <w:rPr>
          <w:rFonts w:eastAsia="Calibri" w:cstheme="minorHAnsi"/>
          <w:color w:val="000000"/>
          <w:lang w:val="en-GB"/>
        </w:rPr>
        <w:t>Sub-Account</w:t>
      </w:r>
      <w:r w:rsidR="00377968" w:rsidRPr="00FF2F56">
        <w:rPr>
          <w:rFonts w:eastAsia="Calibri" w:cstheme="minorHAnsi"/>
          <w:color w:val="000000"/>
          <w:lang w:val="en-GB"/>
        </w:rPr>
        <w:t>.</w:t>
      </w:r>
      <w:r w:rsidR="00377968" w:rsidRPr="005A2CF7">
        <w:rPr>
          <w:rFonts w:eastAsia="Calibri" w:cstheme="minorHAnsi"/>
          <w:color w:val="000000"/>
          <w:lang w:val="en-GB"/>
        </w:rPr>
        <w:t xml:space="preserve">   </w:t>
      </w:r>
    </w:p>
    <w:p w14:paraId="535CA961" w14:textId="69DD8DD4" w:rsidR="00377968" w:rsidRDefault="00377968" w:rsidP="00377968">
      <w:pPr>
        <w:spacing w:before="120" w:after="120" w:line="240" w:lineRule="atLeast"/>
        <w:jc w:val="both"/>
        <w:rPr>
          <w:rFonts w:cstheme="minorHAnsi"/>
          <w:lang w:val="en-GB"/>
        </w:rPr>
      </w:pPr>
      <w:r w:rsidRPr="005A2CF7">
        <w:rPr>
          <w:rFonts w:cstheme="minorHAnsi"/>
          <w:lang w:val="en-GB"/>
        </w:rPr>
        <w:t>The details of the sub-accounts already opened for the Clearing Member are as follows:</w:t>
      </w:r>
    </w:p>
    <w:p w14:paraId="7396FFCA" w14:textId="02DFE4C5" w:rsidR="003258EE" w:rsidRDefault="003258EE" w:rsidP="00377968">
      <w:pPr>
        <w:spacing w:before="120" w:after="120" w:line="240" w:lineRule="atLeast"/>
        <w:jc w:val="both"/>
        <w:rPr>
          <w:rFonts w:cstheme="minorHAnsi"/>
          <w:lang w:val="en-GB"/>
        </w:rPr>
      </w:pPr>
    </w:p>
    <w:p w14:paraId="6257FAC2" w14:textId="643BD039" w:rsidR="003258EE" w:rsidRDefault="003258EE" w:rsidP="00377968">
      <w:pPr>
        <w:spacing w:before="120" w:after="120" w:line="240" w:lineRule="atLeast"/>
        <w:jc w:val="both"/>
        <w:rPr>
          <w:rFonts w:cstheme="minorHAnsi"/>
          <w:lang w:val="en-GB"/>
        </w:rPr>
      </w:pPr>
    </w:p>
    <w:p w14:paraId="65B01331" w14:textId="77777777" w:rsidR="003258EE" w:rsidRPr="005A2CF7" w:rsidRDefault="003258EE" w:rsidP="00377968">
      <w:pPr>
        <w:spacing w:before="120" w:after="120" w:line="240" w:lineRule="atLeast"/>
        <w:jc w:val="both"/>
        <w:rPr>
          <w:rFonts w:cstheme="minorHAnsi"/>
          <w:lang w:val="en-GB"/>
        </w:rPr>
      </w:pP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557"/>
      </w:tblGrid>
      <w:tr w:rsidR="00377968" w:rsidRPr="007B3031" w14:paraId="05B3C34E" w14:textId="77777777" w:rsidTr="003258EE">
        <w:trPr>
          <w:trHeight w:val="397"/>
        </w:trPr>
        <w:tc>
          <w:tcPr>
            <w:tcW w:w="5557" w:type="dxa"/>
            <w:tcBorders>
              <w:top w:val="nil"/>
              <w:bottom w:val="nil"/>
            </w:tcBorders>
            <w:shd w:val="clear" w:color="auto" w:fill="auto"/>
            <w:vAlign w:val="center"/>
          </w:tcPr>
          <w:p w14:paraId="7A00A480" w14:textId="53FC511B" w:rsidR="00377968" w:rsidRPr="003258EE" w:rsidRDefault="00377968" w:rsidP="003258EE">
            <w:pPr>
              <w:spacing w:line="360" w:lineRule="auto"/>
              <w:jc w:val="center"/>
              <w:rPr>
                <w:rFonts w:cstheme="minorHAnsi"/>
                <w:lang w:val="en-150"/>
              </w:rPr>
            </w:pPr>
            <w:r w:rsidRPr="005A2CF7">
              <w:rPr>
                <w:rFonts w:cstheme="minorHAnsi"/>
                <w:lang w:val="en-GB"/>
              </w:rPr>
              <w:lastRenderedPageBreak/>
              <w:t>Name of Settlement Bank</w:t>
            </w:r>
            <w:r w:rsidR="003258EE">
              <w:rPr>
                <w:rFonts w:cstheme="minorHAnsi"/>
                <w:lang w:val="en-150"/>
              </w:rPr>
              <w:t xml:space="preserve">            </w:t>
            </w:r>
            <w:sdt>
              <w:sdtPr>
                <w:rPr>
                  <w:rFonts w:cstheme="minorHAnsi"/>
                  <w:b/>
                  <w:bCs/>
                  <w:color w:val="000000"/>
                  <w:sz w:val="20"/>
                  <w:lang w:val="en-GB"/>
                </w:rPr>
                <w:id w:val="-420258828"/>
                <w:placeholder>
                  <w:docPart w:val="106AFEA5B0F040619897BAF51068271B"/>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r w:rsidR="00377968" w:rsidRPr="007B3031" w14:paraId="41397F33" w14:textId="77777777" w:rsidTr="003258EE">
        <w:trPr>
          <w:trHeight w:val="397"/>
        </w:trPr>
        <w:tc>
          <w:tcPr>
            <w:tcW w:w="5557" w:type="dxa"/>
            <w:tcBorders>
              <w:top w:val="nil"/>
              <w:bottom w:val="nil"/>
            </w:tcBorders>
            <w:shd w:val="clear" w:color="auto" w:fill="auto"/>
            <w:vAlign w:val="center"/>
          </w:tcPr>
          <w:p w14:paraId="5C58441A" w14:textId="22A157C0" w:rsidR="00377968" w:rsidRPr="003258EE" w:rsidRDefault="00377968" w:rsidP="003258EE">
            <w:pPr>
              <w:spacing w:line="360" w:lineRule="auto"/>
              <w:jc w:val="center"/>
              <w:rPr>
                <w:rFonts w:cstheme="minorHAnsi"/>
                <w:lang w:val="en-150"/>
              </w:rPr>
            </w:pPr>
            <w:r w:rsidRPr="005A2CF7">
              <w:rPr>
                <w:rFonts w:cstheme="minorHAnsi"/>
                <w:lang w:val="en-GB"/>
              </w:rPr>
              <w:t>BIC of Settlement Bank</w:t>
            </w:r>
            <w:r w:rsidR="003258EE">
              <w:rPr>
                <w:rFonts w:cstheme="minorHAnsi"/>
                <w:lang w:val="en-150"/>
              </w:rPr>
              <w:t xml:space="preserve">                </w:t>
            </w:r>
            <w:sdt>
              <w:sdtPr>
                <w:rPr>
                  <w:rFonts w:cstheme="minorHAnsi"/>
                  <w:b/>
                  <w:bCs/>
                  <w:color w:val="000000"/>
                  <w:sz w:val="20"/>
                  <w:lang w:val="en-GB"/>
                </w:rPr>
                <w:id w:val="-973518863"/>
                <w:placeholder>
                  <w:docPart w:val="8EA0337E8A394B8D822230B10F02E4FD"/>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r w:rsidR="00377968" w:rsidRPr="007B3031" w14:paraId="643FBACE" w14:textId="77777777" w:rsidTr="003258EE">
        <w:trPr>
          <w:trHeight w:val="397"/>
        </w:trPr>
        <w:tc>
          <w:tcPr>
            <w:tcW w:w="5557" w:type="dxa"/>
            <w:tcBorders>
              <w:top w:val="nil"/>
              <w:bottom w:val="nil"/>
            </w:tcBorders>
            <w:shd w:val="clear" w:color="auto" w:fill="auto"/>
            <w:vAlign w:val="center"/>
          </w:tcPr>
          <w:p w14:paraId="55D194A1" w14:textId="68A4B7F0" w:rsidR="00377968" w:rsidRPr="003258EE" w:rsidRDefault="00377968" w:rsidP="003258EE">
            <w:pPr>
              <w:spacing w:line="360" w:lineRule="auto"/>
              <w:jc w:val="center"/>
              <w:rPr>
                <w:rFonts w:cstheme="minorHAnsi"/>
                <w:lang w:val="en-150"/>
              </w:rPr>
            </w:pPr>
            <w:r w:rsidRPr="005A2CF7">
              <w:rPr>
                <w:rFonts w:cstheme="minorHAnsi"/>
                <w:lang w:val="en-GB"/>
              </w:rPr>
              <w:t>Name of Clearing Member</w:t>
            </w:r>
            <w:r w:rsidR="003258EE">
              <w:rPr>
                <w:rFonts w:cstheme="minorHAnsi"/>
                <w:lang w:val="en-150"/>
              </w:rPr>
              <w:t xml:space="preserve">         </w:t>
            </w:r>
            <w:sdt>
              <w:sdtPr>
                <w:rPr>
                  <w:rFonts w:cstheme="minorHAnsi"/>
                  <w:b/>
                  <w:bCs/>
                  <w:color w:val="000000"/>
                  <w:sz w:val="20"/>
                  <w:lang w:val="en-GB"/>
                </w:rPr>
                <w:id w:val="393466184"/>
                <w:placeholder>
                  <w:docPart w:val="E22D5485EB6E444D93086E9EDFA61A5A"/>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r w:rsidR="00377968" w:rsidRPr="007B3031" w14:paraId="01238FF8" w14:textId="77777777" w:rsidTr="003258EE">
        <w:trPr>
          <w:trHeight w:val="397"/>
        </w:trPr>
        <w:tc>
          <w:tcPr>
            <w:tcW w:w="5557" w:type="dxa"/>
            <w:tcBorders>
              <w:top w:val="nil"/>
              <w:bottom w:val="nil"/>
            </w:tcBorders>
            <w:shd w:val="clear" w:color="auto" w:fill="auto"/>
            <w:vAlign w:val="center"/>
          </w:tcPr>
          <w:p w14:paraId="7BEE5443" w14:textId="78DC8AA5" w:rsidR="00377968" w:rsidRPr="003258EE" w:rsidRDefault="00377968" w:rsidP="003258EE">
            <w:pPr>
              <w:spacing w:line="360" w:lineRule="auto"/>
              <w:jc w:val="center"/>
              <w:rPr>
                <w:rFonts w:cstheme="minorHAnsi"/>
                <w:lang w:val="en-150"/>
              </w:rPr>
            </w:pPr>
            <w:r w:rsidRPr="005A2CF7">
              <w:rPr>
                <w:rFonts w:cstheme="minorHAnsi"/>
                <w:lang w:val="en-GB"/>
              </w:rPr>
              <w:t xml:space="preserve">Clearing Member Code </w:t>
            </w:r>
            <w:r w:rsidR="003258EE">
              <w:rPr>
                <w:rFonts w:cstheme="minorHAnsi"/>
                <w:lang w:val="en-150"/>
              </w:rPr>
              <w:t xml:space="preserve">              </w:t>
            </w:r>
            <w:sdt>
              <w:sdtPr>
                <w:rPr>
                  <w:rFonts w:cstheme="minorHAnsi"/>
                  <w:b/>
                  <w:bCs/>
                  <w:color w:val="000000"/>
                  <w:sz w:val="20"/>
                  <w:lang w:val="en-GB"/>
                </w:rPr>
                <w:id w:val="-663934972"/>
                <w:placeholder>
                  <w:docPart w:val="C5A9CCF855DB4D678C7AB7A34F349AF8"/>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r w:rsidR="00377968" w:rsidRPr="007B3031" w14:paraId="3AF0B2AD" w14:textId="77777777" w:rsidTr="003258EE">
        <w:trPr>
          <w:trHeight w:val="397"/>
        </w:trPr>
        <w:tc>
          <w:tcPr>
            <w:tcW w:w="5557" w:type="dxa"/>
            <w:tcBorders>
              <w:top w:val="nil"/>
              <w:bottom w:val="nil"/>
            </w:tcBorders>
            <w:shd w:val="clear" w:color="auto" w:fill="auto"/>
            <w:vAlign w:val="center"/>
          </w:tcPr>
          <w:p w14:paraId="4C56D9DC" w14:textId="11007CB5" w:rsidR="00377968" w:rsidRPr="005A2CF7" w:rsidRDefault="00377968" w:rsidP="003258EE">
            <w:pPr>
              <w:spacing w:line="360" w:lineRule="auto"/>
              <w:jc w:val="center"/>
              <w:rPr>
                <w:rFonts w:cstheme="minorHAnsi"/>
                <w:lang w:val="en-GB"/>
              </w:rPr>
            </w:pPr>
            <w:r w:rsidRPr="005A2CF7">
              <w:rPr>
                <w:rFonts w:cstheme="minorHAnsi"/>
                <w:lang w:val="en-GB"/>
              </w:rPr>
              <w:t>Clearing Member ’s BIC</w:t>
            </w:r>
            <w:r w:rsidR="003258EE">
              <w:rPr>
                <w:rFonts w:cstheme="minorHAnsi"/>
                <w:lang w:val="en-150"/>
              </w:rPr>
              <w:t xml:space="preserve">             </w:t>
            </w:r>
            <w:r w:rsidRPr="005A2CF7">
              <w:rPr>
                <w:rFonts w:cstheme="minorHAnsi"/>
                <w:lang w:val="en-GB"/>
              </w:rPr>
              <w:t xml:space="preserve"> </w:t>
            </w:r>
            <w:sdt>
              <w:sdtPr>
                <w:rPr>
                  <w:rFonts w:cstheme="minorHAnsi"/>
                  <w:b/>
                  <w:bCs/>
                  <w:color w:val="000000"/>
                  <w:sz w:val="20"/>
                  <w:lang w:val="en-GB"/>
                </w:rPr>
                <w:id w:val="2139061920"/>
                <w:placeholder>
                  <w:docPart w:val="131FEF75883D403D8921EE76AD39480E"/>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r w:rsidR="00377968" w:rsidRPr="007B3031" w14:paraId="01D603D0" w14:textId="77777777" w:rsidTr="003258EE">
        <w:trPr>
          <w:trHeight w:val="397"/>
        </w:trPr>
        <w:tc>
          <w:tcPr>
            <w:tcW w:w="5557" w:type="dxa"/>
            <w:tcBorders>
              <w:top w:val="nil"/>
              <w:bottom w:val="nil"/>
            </w:tcBorders>
            <w:shd w:val="clear" w:color="auto" w:fill="auto"/>
            <w:vAlign w:val="center"/>
          </w:tcPr>
          <w:p w14:paraId="3F036F6A" w14:textId="05290063" w:rsidR="00377968" w:rsidRPr="003258EE" w:rsidRDefault="00377968" w:rsidP="003258EE">
            <w:pPr>
              <w:spacing w:line="360" w:lineRule="auto"/>
              <w:jc w:val="center"/>
              <w:rPr>
                <w:rFonts w:cstheme="minorHAnsi"/>
                <w:lang w:val="en-150"/>
              </w:rPr>
            </w:pPr>
            <w:r w:rsidRPr="005A2CF7">
              <w:rPr>
                <w:rFonts w:cstheme="minorHAnsi"/>
                <w:lang w:val="en-GB"/>
              </w:rPr>
              <w:t>Sub-Account ΙΒΑΝ</w:t>
            </w:r>
            <w:r w:rsidR="003258EE">
              <w:rPr>
                <w:rFonts w:cstheme="minorHAnsi"/>
                <w:lang w:val="en-150"/>
              </w:rPr>
              <w:t xml:space="preserve">                       </w:t>
            </w:r>
            <w:sdt>
              <w:sdtPr>
                <w:rPr>
                  <w:rFonts w:cstheme="minorHAnsi"/>
                  <w:b/>
                  <w:bCs/>
                  <w:color w:val="000000"/>
                  <w:sz w:val="20"/>
                  <w:lang w:val="en-GB"/>
                </w:rPr>
                <w:id w:val="-53854579"/>
                <w:placeholder>
                  <w:docPart w:val="1E3EDEF1FAE44322B21D079F2B542481"/>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r w:rsidR="00377968" w:rsidRPr="007B3031" w14:paraId="2A469B98" w14:textId="77777777" w:rsidTr="003258EE">
        <w:trPr>
          <w:trHeight w:val="397"/>
        </w:trPr>
        <w:tc>
          <w:tcPr>
            <w:tcW w:w="5557" w:type="dxa"/>
            <w:tcBorders>
              <w:top w:val="nil"/>
              <w:bottom w:val="nil"/>
            </w:tcBorders>
            <w:shd w:val="clear" w:color="auto" w:fill="auto"/>
            <w:vAlign w:val="center"/>
          </w:tcPr>
          <w:p w14:paraId="0A5CEEEC" w14:textId="14C52685" w:rsidR="00377968" w:rsidRPr="003258EE" w:rsidRDefault="00377968" w:rsidP="003258EE">
            <w:pPr>
              <w:spacing w:line="360" w:lineRule="auto"/>
              <w:jc w:val="center"/>
              <w:rPr>
                <w:rFonts w:cstheme="minorHAnsi"/>
                <w:lang w:val="en-150"/>
              </w:rPr>
            </w:pPr>
            <w:r w:rsidRPr="005A2CF7">
              <w:rPr>
                <w:rFonts w:cstheme="minorHAnsi"/>
                <w:lang w:val="en-GB"/>
              </w:rPr>
              <w:t>Title of Sub-Account</w:t>
            </w:r>
            <w:r w:rsidR="003258EE">
              <w:rPr>
                <w:rFonts w:cstheme="minorHAnsi"/>
                <w:lang w:val="en-150"/>
              </w:rPr>
              <w:t xml:space="preserve">                   </w:t>
            </w:r>
            <w:sdt>
              <w:sdtPr>
                <w:rPr>
                  <w:rFonts w:cstheme="minorHAnsi"/>
                  <w:b/>
                  <w:bCs/>
                  <w:color w:val="000000"/>
                  <w:sz w:val="20"/>
                  <w:lang w:val="en-GB"/>
                </w:rPr>
                <w:id w:val="-888877142"/>
                <w:placeholder>
                  <w:docPart w:val="FC0CE2CA1E5F488498F29A72049FD53D"/>
                </w:placeholder>
                <w:showingPlcHdr/>
              </w:sdtPr>
              <w:sdtEndPr/>
              <w:sdtContent>
                <w:r w:rsidR="003258EE" w:rsidRPr="007B3031">
                  <w:rPr>
                    <w:rFonts w:eastAsia="Calibri" w:cstheme="minorHAnsi"/>
                    <w:color w:val="808080"/>
                    <w:sz w:val="20"/>
                    <w:shd w:val="clear" w:color="auto" w:fill="E7E6E6" w:themeFill="background2"/>
                    <w:lang w:val="en-US"/>
                  </w:rPr>
                  <w:t>Click or tap here to enter text.</w:t>
                </w:r>
              </w:sdtContent>
            </w:sdt>
          </w:p>
        </w:tc>
      </w:tr>
    </w:tbl>
    <w:p w14:paraId="369432DB" w14:textId="77777777" w:rsidR="00377968" w:rsidRPr="005A2CF7" w:rsidRDefault="00377968" w:rsidP="00D10EA0">
      <w:pPr>
        <w:spacing w:after="0" w:line="360" w:lineRule="auto"/>
        <w:jc w:val="both"/>
        <w:rPr>
          <w:rFonts w:cstheme="minorHAnsi"/>
          <w:lang w:val="en-GB"/>
        </w:rPr>
      </w:pPr>
      <w:r w:rsidRPr="005A2CF7">
        <w:rPr>
          <w:rFonts w:cstheme="minorHAnsi"/>
          <w:lang w:val="en-GB"/>
        </w:rPr>
        <w:t xml:space="preserve">Moreover, it is also expressly agreed and declared that the Settlement Bank and the Clearing Member: </w:t>
      </w:r>
    </w:p>
    <w:p w14:paraId="6E6FD219" w14:textId="7777777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Undertake the commitment to notify EnExClear of any change to the data of the Sub-Account kept by the Settlement Bank for the Clearing Member in accordance with the above, as the case may be.</w:t>
      </w:r>
    </w:p>
    <w:p w14:paraId="52DC016B" w14:textId="7777777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Shall act in compliance with the settlement procedure as instructed each time by EnExClear on the basis of TARGET2-GR Operating Regulations.</w:t>
      </w:r>
    </w:p>
    <w:p w14:paraId="5D2F34EB" w14:textId="7777777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adopt adequate procedures for connecting the commercial accounts of the Clearing Member with the Sub-Accounts kept for it by the Settlement Bank in accordance with the above, and shall perform the necessary debits and credits through the aforesaid accounts and Sub-Accounts in order to ensure the timely and proper fulfilment of their respective obligations to EnExClear for the sake of the smooth operation of cash settlement.    </w:t>
      </w:r>
    </w:p>
    <w:p w14:paraId="770E0D69" w14:textId="7777777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cooperate, in the event of any failure, malfunction, technical problems in general, or other emergencies that disrupt the operation of the accounts and Sub-Accounts under 3) above and shall notify EnExClear accordingly without delay so as to be in a position to fulfil their obligations to the latter, in accordance with EnExClear’s procedures, with regard to cash settlement.  </w:t>
      </w:r>
    </w:p>
    <w:p w14:paraId="71256084" w14:textId="7777777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cooperate so that, if a Sub-Account kept by the Settlement Bank for the Clearing Member is closed, or if the Settlement Bank ceases its provision of services, as set out in the “Special Terms on the Provision of Settlement Bank Services to the EnExClear Ancillary System”, signed as above by the Settlement Bank, it is certain that a corresponding new sub-account has been opened for the Clearing Member in TARGET2-GR by another Settlement Bank or by the Clearing Member itself, in the case where it is acting as a Settlement Bank, and that EnExClear </w:t>
      </w:r>
      <w:r w:rsidRPr="005A2CF7">
        <w:rPr>
          <w:rFonts w:cstheme="minorHAnsi"/>
          <w:lang w:val="en-GB"/>
        </w:rPr>
        <w:lastRenderedPageBreak/>
        <w:t xml:space="preserve">will have received the data pertaining to the new sub-account prior to closure of the Sub-Account in question. The Settlement Bank also acknowledges that it will not immediately close a sub-account unless this is necessary due to the loss of the capacity of Clearing Member and provided it has been previously notified by EnExClear. In every case, in order to close a sub-account, the Settlement Bank declares that it will complete the standard form “TARGET2 form collection of Static Data – Sub Account for dedicated liquidity –“ (Form 1014) and itself submit it to the Bank of Greece, while also forwarding a copy to EnExClear, or through EnExClear, in accordance with EnExClear’s procedures. </w:t>
      </w:r>
    </w:p>
    <w:p w14:paraId="41F48D08" w14:textId="77777777" w:rsidR="00377968" w:rsidRPr="005A2CF7" w:rsidRDefault="00377968" w:rsidP="00D10EA0">
      <w:pPr>
        <w:spacing w:after="0" w:line="360" w:lineRule="auto"/>
        <w:jc w:val="both"/>
        <w:rPr>
          <w:rFonts w:cstheme="minorHAnsi"/>
          <w:lang w:val="en-GB"/>
        </w:rPr>
      </w:pPr>
      <w:r w:rsidRPr="005A2CF7">
        <w:rPr>
          <w:rFonts w:cstheme="minorHAnsi"/>
          <w:lang w:val="en-GB"/>
        </w:rPr>
        <w:t>Furthermore the Clearing Member declares that it has been made aware of its right on the basis of EnExClear’s procedures, in the event of compulsory deletion of the Settlement Bank, by way of indication due to revocation of its operating licence or insolvency proceedings against it and therefore the cessation of its relevant services in accordance with TARGET2-GR Operating Regulations, to temporarily and until the opening of a new Sub-Account or Sub-Accounts for it by another Settlement Bank, make use of the respective services of EnExClear in order to fulfil its cash settlement obligations. In this regard, the Clearing Member declares that in such an event it will immediately take steps to secure the relevant services of another Settlement Bank.</w:t>
      </w:r>
    </w:p>
    <w:p w14:paraId="5DD34718" w14:textId="4D7A004A" w:rsidR="00377968" w:rsidRDefault="00377968" w:rsidP="00D10EA0">
      <w:pPr>
        <w:spacing w:after="0" w:line="360" w:lineRule="auto"/>
        <w:jc w:val="both"/>
        <w:rPr>
          <w:rFonts w:cstheme="minorHAnsi"/>
          <w:lang w:val="en-150"/>
        </w:rPr>
      </w:pPr>
      <w:r w:rsidRPr="005A2CF7">
        <w:rPr>
          <w:rFonts w:cstheme="minorHAnsi"/>
          <w:lang w:val="en-GB"/>
        </w:rPr>
        <w:t xml:space="preserve">The Settlement Bank and the Clearing Member undertake the commitment to act, in general, in accordance with EnExClear’s instructions so as to ensure the proper fulfilment of their respective cash settlement obligations to EnExClear. </w:t>
      </w:r>
    </w:p>
    <w:p w14:paraId="5C69E6AE" w14:textId="77777777" w:rsidR="007B3031" w:rsidRPr="007B3031" w:rsidRDefault="007B3031" w:rsidP="00D10EA0">
      <w:pPr>
        <w:spacing w:after="0" w:line="360" w:lineRule="auto"/>
        <w:jc w:val="both"/>
        <w:rPr>
          <w:rFonts w:cstheme="minorHAnsi"/>
          <w:lang w:val="en-150"/>
        </w:rPr>
      </w:pPr>
    </w:p>
    <w:tbl>
      <w:tblPr>
        <w:tblStyle w:val="TableGrid"/>
        <w:tblW w:w="10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3"/>
        <w:gridCol w:w="5091"/>
      </w:tblGrid>
      <w:tr w:rsidR="007B3031" w14:paraId="28666D9A" w14:textId="77777777" w:rsidTr="007B3031">
        <w:trPr>
          <w:trHeight w:val="306"/>
          <w:jc w:val="center"/>
        </w:trPr>
        <w:tc>
          <w:tcPr>
            <w:tcW w:w="5033" w:type="dxa"/>
          </w:tcPr>
          <w:p w14:paraId="6A58451D" w14:textId="5E3D8DFF" w:rsidR="007B3031" w:rsidRDefault="007B3031" w:rsidP="007B5028">
            <w:pPr>
              <w:rPr>
                <w:rFonts w:cstheme="minorHAnsi"/>
                <w:lang w:val="en-GB"/>
              </w:rPr>
            </w:pPr>
            <w:r w:rsidRPr="00AB1317">
              <w:rPr>
                <w:rFonts w:cstheme="minorHAnsi"/>
                <w:b/>
                <w:bCs/>
                <w:i/>
                <w:iCs/>
                <w:lang w:val="en-US"/>
              </w:rPr>
              <w:t xml:space="preserve">For the Settlement Bank:                                                           </w:t>
            </w:r>
          </w:p>
        </w:tc>
        <w:tc>
          <w:tcPr>
            <w:tcW w:w="5091" w:type="dxa"/>
          </w:tcPr>
          <w:p w14:paraId="57606744" w14:textId="77777777" w:rsidR="007B3031" w:rsidRDefault="007B3031" w:rsidP="007B5028">
            <w:pPr>
              <w:ind w:left="-1276"/>
              <w:jc w:val="right"/>
              <w:rPr>
                <w:rFonts w:cstheme="minorHAnsi"/>
                <w:lang w:val="en-GB"/>
              </w:rPr>
            </w:pPr>
            <w:r w:rsidRPr="005A2CF7">
              <w:rPr>
                <w:rFonts w:cstheme="minorHAnsi"/>
                <w:b/>
                <w:lang w:val="en-GB"/>
              </w:rPr>
              <w:t>For the Clearing Member</w:t>
            </w:r>
            <w:r w:rsidRPr="006C7BD1">
              <w:rPr>
                <w:rFonts w:cstheme="minorHAnsi"/>
                <w:b/>
                <w:bCs/>
                <w:i/>
                <w:iCs/>
                <w:lang w:val="en-US"/>
              </w:rPr>
              <w:t>:</w:t>
            </w:r>
          </w:p>
        </w:tc>
      </w:tr>
      <w:tr w:rsidR="007B3031" w14:paraId="33F9E9E6" w14:textId="77777777" w:rsidTr="007B3031">
        <w:trPr>
          <w:trHeight w:val="408"/>
          <w:jc w:val="center"/>
        </w:trPr>
        <w:tc>
          <w:tcPr>
            <w:tcW w:w="5033" w:type="dxa"/>
          </w:tcPr>
          <w:p w14:paraId="7C8774E0" w14:textId="77777777" w:rsidR="007B3031" w:rsidRDefault="00885D8A" w:rsidP="007B5028">
            <w:pPr>
              <w:rPr>
                <w:rFonts w:cstheme="minorHAnsi"/>
                <w:lang w:val="en-GB"/>
              </w:rPr>
            </w:pPr>
            <w:sdt>
              <w:sdtPr>
                <w:rPr>
                  <w:rFonts w:cstheme="minorHAnsi"/>
                  <w:b/>
                  <w:bCs/>
                  <w:color w:val="000000"/>
                  <w:sz w:val="20"/>
                  <w:lang w:val="en-GB"/>
                </w:rPr>
                <w:id w:val="1303963341"/>
                <w:placeholder>
                  <w:docPart w:val="949A87F7D16B429185E70A409C523771"/>
                </w:placeholder>
                <w:showingPlcHdr/>
              </w:sdtPr>
              <w:sdtEndPr/>
              <w:sdtContent>
                <w:r w:rsidR="007B3031" w:rsidRPr="00F85EBC">
                  <w:rPr>
                    <w:rFonts w:eastAsia="Calibri" w:cstheme="minorHAnsi"/>
                    <w:color w:val="808080"/>
                    <w:sz w:val="20"/>
                    <w:lang w:val="en-US"/>
                  </w:rPr>
                  <w:t>Click or tap here to enter text.</w:t>
                </w:r>
              </w:sdtContent>
            </w:sdt>
          </w:p>
        </w:tc>
        <w:tc>
          <w:tcPr>
            <w:tcW w:w="5091" w:type="dxa"/>
          </w:tcPr>
          <w:p w14:paraId="739B9D99" w14:textId="77777777" w:rsidR="007B3031" w:rsidRDefault="00885D8A" w:rsidP="007B5028">
            <w:pPr>
              <w:jc w:val="right"/>
              <w:rPr>
                <w:rFonts w:cstheme="minorHAnsi"/>
                <w:lang w:val="en-GB"/>
              </w:rPr>
            </w:pPr>
            <w:sdt>
              <w:sdtPr>
                <w:rPr>
                  <w:rFonts w:cstheme="minorHAnsi"/>
                  <w:b/>
                  <w:bCs/>
                  <w:color w:val="000000"/>
                  <w:sz w:val="20"/>
                  <w:lang w:val="en-GB"/>
                </w:rPr>
                <w:id w:val="-1048295063"/>
                <w:placeholder>
                  <w:docPart w:val="1D8C83D647CC45568C71EB5887CF6DFD"/>
                </w:placeholder>
                <w:showingPlcHdr/>
              </w:sdtPr>
              <w:sdtEndPr/>
              <w:sdtContent>
                <w:r w:rsidR="007B3031" w:rsidRPr="00F85EBC">
                  <w:rPr>
                    <w:rFonts w:eastAsia="Calibri" w:cstheme="minorHAnsi"/>
                    <w:color w:val="808080"/>
                    <w:sz w:val="20"/>
                    <w:lang w:val="en-US"/>
                  </w:rPr>
                  <w:t>Click or tap here to enter text.</w:t>
                </w:r>
              </w:sdtContent>
            </w:sdt>
          </w:p>
        </w:tc>
      </w:tr>
      <w:tr w:rsidR="007B3031" w:rsidRPr="00AB1317" w14:paraId="348AEC8D" w14:textId="77777777" w:rsidTr="007B3031">
        <w:trPr>
          <w:trHeight w:val="49"/>
          <w:jc w:val="center"/>
        </w:trPr>
        <w:tc>
          <w:tcPr>
            <w:tcW w:w="5033" w:type="dxa"/>
          </w:tcPr>
          <w:p w14:paraId="158EE503" w14:textId="77777777" w:rsidR="007B3031" w:rsidRPr="00AB1317" w:rsidRDefault="007B3031" w:rsidP="007B5028">
            <w:pPr>
              <w:spacing w:after="0"/>
              <w:jc w:val="both"/>
              <w:rPr>
                <w:rFonts w:cstheme="minorHAnsi"/>
                <w:i/>
                <w:sz w:val="18"/>
                <w:szCs w:val="18"/>
                <w:lang w:val="en-GB"/>
              </w:rPr>
            </w:pPr>
            <w:r w:rsidRPr="00AB1317">
              <w:rPr>
                <w:rFonts w:cstheme="minorHAnsi"/>
                <w:i/>
                <w:sz w:val="18"/>
                <w:szCs w:val="18"/>
                <w:lang w:val="en-GB"/>
              </w:rPr>
              <w:t xml:space="preserve">(please insert the full name of the legal entity </w:t>
            </w:r>
          </w:p>
          <w:p w14:paraId="25F4705E" w14:textId="77777777" w:rsidR="007B3031" w:rsidRPr="00477659" w:rsidRDefault="007B3031" w:rsidP="007B5028">
            <w:pPr>
              <w:jc w:val="both"/>
              <w:rPr>
                <w:rFonts w:cstheme="minorHAnsi"/>
                <w:lang w:val="en-150"/>
              </w:rPr>
            </w:pPr>
            <w:r w:rsidRPr="00AB1317">
              <w:rPr>
                <w:rFonts w:cstheme="minorHAnsi"/>
                <w:i/>
                <w:sz w:val="18"/>
                <w:szCs w:val="18"/>
                <w:lang w:val="en-GB"/>
              </w:rPr>
              <w:t>and add the name &amp; signature of its legal representative</w:t>
            </w:r>
            <w:r w:rsidRPr="00AB1317">
              <w:rPr>
                <w:rFonts w:eastAsia="Calibri" w:cstheme="minorHAnsi"/>
                <w:sz w:val="18"/>
                <w:szCs w:val="18"/>
                <w:lang w:val="en-150"/>
              </w:rPr>
              <w:t>)</w:t>
            </w:r>
          </w:p>
        </w:tc>
        <w:tc>
          <w:tcPr>
            <w:tcW w:w="5091" w:type="dxa"/>
          </w:tcPr>
          <w:p w14:paraId="2D879C8B" w14:textId="77777777" w:rsidR="007B3031" w:rsidRPr="00D10EA0" w:rsidRDefault="007B3031" w:rsidP="007B5028">
            <w:pPr>
              <w:spacing w:after="0"/>
              <w:jc w:val="right"/>
              <w:rPr>
                <w:rFonts w:cstheme="minorHAnsi"/>
                <w:i/>
                <w:sz w:val="18"/>
                <w:szCs w:val="18"/>
                <w:lang w:val="en-GB"/>
              </w:rPr>
            </w:pPr>
            <w:r w:rsidRPr="00D10EA0">
              <w:rPr>
                <w:rFonts w:cstheme="minorHAnsi"/>
                <w:i/>
                <w:sz w:val="18"/>
                <w:szCs w:val="18"/>
                <w:lang w:val="en-GB"/>
              </w:rPr>
              <w:t xml:space="preserve">(please insert the full name of the legal entity </w:t>
            </w:r>
          </w:p>
          <w:p w14:paraId="468D4488" w14:textId="07B57DB5" w:rsidR="007B3031" w:rsidRPr="007B3031" w:rsidRDefault="007B3031" w:rsidP="007B5028">
            <w:pPr>
              <w:jc w:val="right"/>
              <w:rPr>
                <w:rFonts w:cstheme="minorHAnsi"/>
                <w:lang w:val="en-150"/>
              </w:rPr>
            </w:pPr>
            <w:r w:rsidRPr="00D10EA0">
              <w:rPr>
                <w:rFonts w:cstheme="minorHAnsi"/>
                <w:i/>
                <w:sz w:val="18"/>
                <w:szCs w:val="18"/>
                <w:lang w:val="en-GB"/>
              </w:rPr>
              <w:t xml:space="preserve">and add the name &amp; signature of its </w:t>
            </w:r>
            <w:r>
              <w:rPr>
                <w:rFonts w:cstheme="minorHAnsi"/>
                <w:i/>
                <w:sz w:val="18"/>
                <w:szCs w:val="18"/>
                <w:lang w:val="en-150"/>
              </w:rPr>
              <w:t>L</w:t>
            </w:r>
            <w:r w:rsidRPr="00D10EA0">
              <w:rPr>
                <w:rFonts w:cstheme="minorHAnsi"/>
                <w:i/>
                <w:sz w:val="18"/>
                <w:szCs w:val="18"/>
                <w:lang w:val="en-GB"/>
              </w:rPr>
              <w:t>egal</w:t>
            </w:r>
            <w:r>
              <w:rPr>
                <w:rFonts w:cstheme="minorHAnsi"/>
                <w:i/>
                <w:sz w:val="18"/>
                <w:szCs w:val="18"/>
                <w:lang w:val="en-150"/>
              </w:rPr>
              <w:t xml:space="preserve"> Representative)</w:t>
            </w:r>
          </w:p>
        </w:tc>
      </w:tr>
      <w:tr w:rsidR="007B3031" w:rsidRPr="00A272EB" w14:paraId="7BEDD79E" w14:textId="77777777" w:rsidTr="007B3031">
        <w:trPr>
          <w:trHeight w:val="2983"/>
          <w:jc w:val="center"/>
        </w:trPr>
        <w:tc>
          <w:tcPr>
            <w:tcW w:w="5033" w:type="dxa"/>
          </w:tcPr>
          <w:p w14:paraId="62A60446" w14:textId="77777777" w:rsidR="007B3031" w:rsidRDefault="007B3031" w:rsidP="007B5028">
            <w:pPr>
              <w:jc w:val="both"/>
              <w:rPr>
                <w:rFonts w:eastAsia="Calibri" w:cstheme="minorHAnsi"/>
                <w:lang w:val="en-US"/>
              </w:rPr>
            </w:pPr>
            <w:r>
              <w:rPr>
                <w:rFonts w:cstheme="minorHAnsi"/>
                <w:noProof/>
                <w:lang w:val="en-GB" w:eastAsia="en-GB"/>
              </w:rPr>
              <w:drawing>
                <wp:inline distT="0" distB="0" distL="0" distR="0" wp14:anchorId="6E75B378" wp14:editId="3472F22A">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6CC5B0D8" w14:textId="3DCCC148" w:rsidR="007B3031" w:rsidRPr="00A272EB" w:rsidRDefault="007B3031" w:rsidP="007B3031">
            <w:pPr>
              <w:rPr>
                <w:rFonts w:eastAsia="Calibri" w:cstheme="minorHAnsi"/>
                <w:lang w:val="en-US"/>
              </w:rPr>
            </w:pPr>
            <w:r w:rsidRPr="000A798E">
              <w:rPr>
                <w:rFonts w:cstheme="minorHAnsi"/>
                <w:lang w:val="en-US"/>
              </w:rPr>
              <w:t>(Company Stamp)</w:t>
            </w:r>
          </w:p>
        </w:tc>
        <w:tc>
          <w:tcPr>
            <w:tcW w:w="5091" w:type="dxa"/>
          </w:tcPr>
          <w:p w14:paraId="60978FFC" w14:textId="77777777" w:rsidR="007B3031" w:rsidRDefault="007B3031" w:rsidP="007B5028">
            <w:pPr>
              <w:jc w:val="right"/>
              <w:rPr>
                <w:rFonts w:eastAsia="Calibri" w:cstheme="minorHAnsi"/>
                <w:lang w:val="en-US"/>
              </w:rPr>
            </w:pPr>
            <w:r>
              <w:rPr>
                <w:rFonts w:cstheme="minorHAnsi"/>
                <w:noProof/>
                <w:lang w:val="en-GB" w:eastAsia="en-GB"/>
              </w:rPr>
              <w:drawing>
                <wp:inline distT="0" distB="0" distL="0" distR="0" wp14:anchorId="38C0FA91" wp14:editId="5E596730">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70AEC5F9" w14:textId="35D8B244" w:rsidR="007B3031" w:rsidRPr="00A272EB" w:rsidRDefault="007B3031" w:rsidP="007B3031">
            <w:pPr>
              <w:jc w:val="right"/>
              <w:rPr>
                <w:rFonts w:eastAsia="Calibri" w:cstheme="minorHAnsi"/>
                <w:lang w:val="en-US"/>
              </w:rPr>
            </w:pPr>
            <w:r w:rsidRPr="000A798E">
              <w:rPr>
                <w:rFonts w:cstheme="minorHAnsi"/>
                <w:lang w:val="en-US"/>
              </w:rPr>
              <w:t>(Company Stamp)</w:t>
            </w:r>
          </w:p>
        </w:tc>
      </w:tr>
    </w:tbl>
    <w:p w14:paraId="281D60FD" w14:textId="5301559D" w:rsidR="007D11C9" w:rsidRPr="005A2CF7" w:rsidRDefault="007D11C9" w:rsidP="00377968">
      <w:pPr>
        <w:rPr>
          <w:rFonts w:cstheme="minorHAnsi"/>
          <w:lang w:val="en-GB"/>
        </w:rPr>
      </w:pPr>
    </w:p>
    <w:sectPr w:rsidR="007D11C9" w:rsidRPr="005A2CF7" w:rsidSect="00985859">
      <w:headerReference w:type="even" r:id="rId10"/>
      <w:headerReference w:type="default" r:id="rId11"/>
      <w:footerReference w:type="even" r:id="rId12"/>
      <w:footerReference w:type="default" r:id="rId13"/>
      <w:headerReference w:type="first" r:id="rId14"/>
      <w:footerReference w:type="first" r:id="rId15"/>
      <w:pgSz w:w="11906" w:h="16838"/>
      <w:pgMar w:top="2278" w:right="1440" w:bottom="1440" w:left="1440" w:header="284"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81C4" w14:textId="77777777" w:rsidR="006B5301" w:rsidRDefault="006B5301" w:rsidP="00D86DD0">
      <w:pPr>
        <w:spacing w:after="0" w:line="240" w:lineRule="auto"/>
      </w:pPr>
      <w:r>
        <w:separator/>
      </w:r>
    </w:p>
  </w:endnote>
  <w:endnote w:type="continuationSeparator" w:id="0">
    <w:p w14:paraId="413800B8" w14:textId="77777777" w:rsidR="006B5301" w:rsidRDefault="006B5301" w:rsidP="00D8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DEE6" w14:textId="77777777" w:rsidR="008D1344" w:rsidRDefault="008D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684029"/>
      <w:docPartObj>
        <w:docPartGallery w:val="Page Numbers (Bottom of Page)"/>
        <w:docPartUnique/>
      </w:docPartObj>
    </w:sdtPr>
    <w:sdtEndPr>
      <w:rPr>
        <w:noProof/>
      </w:rPr>
    </w:sdtEndPr>
    <w:sdtContent>
      <w:p w14:paraId="3476BCFD" w14:textId="2EC45299" w:rsidR="00D0714E" w:rsidRPr="00774852" w:rsidRDefault="003C69A7">
        <w:pPr>
          <w:pStyle w:val="Footer"/>
          <w:jc w:val="right"/>
          <w:rPr>
            <w:noProof/>
            <w:lang w:val="en-US"/>
          </w:rPr>
        </w:pPr>
        <w:r>
          <w:fldChar w:fldCharType="begin"/>
        </w:r>
        <w:r w:rsidRPr="00774852">
          <w:rPr>
            <w:lang w:val="en-US"/>
          </w:rPr>
          <w:instrText xml:space="preserve"> PAGE   \* MERGEFORMAT </w:instrText>
        </w:r>
        <w:r>
          <w:fldChar w:fldCharType="separate"/>
        </w:r>
        <w:r w:rsidR="00433D99">
          <w:rPr>
            <w:noProof/>
            <w:lang w:val="en-US"/>
          </w:rPr>
          <w:t>5</w:t>
        </w:r>
        <w:r>
          <w:rPr>
            <w:noProof/>
          </w:rPr>
          <w:fldChar w:fldCharType="end"/>
        </w:r>
      </w:p>
      <w:p w14:paraId="58357032" w14:textId="023132CE" w:rsidR="003C69A7" w:rsidRDefault="00885D8A">
        <w:pPr>
          <w:pStyle w:val="Footer"/>
          <w:jc w:val="right"/>
        </w:pPr>
      </w:p>
    </w:sdtContent>
  </w:sdt>
  <w:p w14:paraId="151E218E" w14:textId="77777777" w:rsidR="00D86DD0" w:rsidRDefault="00D86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813C" w14:textId="77777777" w:rsidR="008D1344" w:rsidRDefault="008D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821C" w14:textId="77777777" w:rsidR="006B5301" w:rsidRDefault="006B5301" w:rsidP="00D86DD0">
      <w:pPr>
        <w:spacing w:after="0" w:line="240" w:lineRule="auto"/>
      </w:pPr>
      <w:r>
        <w:separator/>
      </w:r>
    </w:p>
  </w:footnote>
  <w:footnote w:type="continuationSeparator" w:id="0">
    <w:p w14:paraId="698825B7" w14:textId="77777777" w:rsidR="006B5301" w:rsidRDefault="006B5301" w:rsidP="00D86DD0">
      <w:pPr>
        <w:spacing w:after="0" w:line="240" w:lineRule="auto"/>
      </w:pPr>
      <w:r>
        <w:continuationSeparator/>
      </w:r>
    </w:p>
  </w:footnote>
  <w:footnote w:id="1">
    <w:p w14:paraId="74D22012" w14:textId="29A8522F" w:rsidR="00433D99" w:rsidRPr="00433D99" w:rsidRDefault="00433D99">
      <w:pPr>
        <w:pStyle w:val="FootnoteText"/>
        <w:rPr>
          <w:lang w:val="en-US"/>
        </w:rPr>
      </w:pPr>
      <w:r>
        <w:rPr>
          <w:rStyle w:val="FootnoteReference"/>
        </w:rPr>
        <w:footnoteRef/>
      </w:r>
      <w:r w:rsidRPr="00433D99">
        <w:rPr>
          <w:lang w:val="en-GB"/>
        </w:rPr>
        <w:t xml:space="preserve"> </w:t>
      </w:r>
      <w:r>
        <w:rPr>
          <w:lang w:val="en-US"/>
        </w:rPr>
        <w:t xml:space="preserve">New form will be provided after the approval of the Regulatory Framework  </w:t>
      </w:r>
    </w:p>
  </w:footnote>
  <w:footnote w:id="2">
    <w:p w14:paraId="2A5C3DC5" w14:textId="6E7542A7" w:rsidR="00433D99" w:rsidRPr="00506C06" w:rsidRDefault="00433D99">
      <w:pPr>
        <w:pStyle w:val="FootnoteText"/>
        <w:rPr>
          <w:lang w:val="en-US"/>
        </w:rPr>
      </w:pPr>
      <w:r>
        <w:rPr>
          <w:rStyle w:val="FootnoteReference"/>
        </w:rPr>
        <w:footnoteRef/>
      </w:r>
      <w:r w:rsidRPr="00506C06">
        <w:rPr>
          <w:lang w:val="en-US"/>
        </w:rPr>
        <w:t xml:space="preserve"> </w:t>
      </w:r>
      <w:r w:rsidR="00506C06">
        <w:rPr>
          <w:lang w:val="en-US"/>
        </w:rPr>
        <w:t>New form will be provided after the approval of the Regulatory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3BF" w14:textId="77777777" w:rsidR="008D1344" w:rsidRDefault="008D1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76FFD" w14:textId="07C849E0" w:rsidR="003F07DF" w:rsidRPr="008D1344" w:rsidRDefault="005544D0" w:rsidP="003F07DF">
    <w:pPr>
      <w:spacing w:before="120"/>
      <w:jc w:val="right"/>
      <w:rPr>
        <w:rFonts w:ascii="Calibri" w:eastAsia="Calibri" w:hAnsi="Calibri" w:cs="Arial"/>
        <w:b/>
        <w:bCs/>
        <w:i/>
        <w:sz w:val="20"/>
        <w:lang w:val="en-150"/>
      </w:rPr>
    </w:pPr>
    <w:r w:rsidRPr="007C3DB9">
      <w:rPr>
        <w:noProof/>
        <w:lang w:val="en-GB" w:eastAsia="en-GB"/>
      </w:rPr>
      <w:drawing>
        <wp:anchor distT="0" distB="0" distL="114300" distR="114300" simplePos="0" relativeHeight="251659264" behindDoc="0" locked="0" layoutInCell="1" allowOverlap="1" wp14:anchorId="49020647" wp14:editId="37AC6F20">
          <wp:simplePos x="0" y="0"/>
          <wp:positionH relativeFrom="column">
            <wp:posOffset>1771650</wp:posOffset>
          </wp:positionH>
          <wp:positionV relativeFrom="paragraph">
            <wp:posOffset>247650</wp:posOffset>
          </wp:positionV>
          <wp:extent cx="1771650" cy="958642"/>
          <wp:effectExtent l="0" t="0" r="0" b="0"/>
          <wp:wrapSquare wrapText="bothSides"/>
          <wp:docPr id="4" name="Picture 4"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003F07DF" w:rsidRPr="007C3DB9">
      <w:rPr>
        <w:rFonts w:ascii="Calibri" w:eastAsia="Calibri" w:hAnsi="Calibri" w:cs="Arial"/>
        <w:b/>
        <w:bCs/>
        <w:i/>
        <w:sz w:val="20"/>
      </w:rPr>
      <w:t>Form</w:t>
    </w:r>
    <w:r w:rsidR="003F07DF" w:rsidRPr="002416DC">
      <w:rPr>
        <w:rFonts w:ascii="Calibri" w:eastAsia="Calibri" w:hAnsi="Calibri" w:cs="Arial"/>
        <w:b/>
        <w:bCs/>
        <w:i/>
        <w:sz w:val="20"/>
      </w:rPr>
      <w:t xml:space="preserve"> </w:t>
    </w:r>
    <w:r w:rsidR="00251D3A">
      <w:rPr>
        <w:rFonts w:ascii="Calibri" w:eastAsia="Calibri" w:hAnsi="Calibri" w:cs="Arial"/>
        <w:b/>
        <w:bCs/>
        <w:i/>
        <w:sz w:val="20"/>
        <w:lang w:val="en-US"/>
      </w:rPr>
      <w:t>CL10-2</w:t>
    </w:r>
    <w:r w:rsidR="00662729">
      <w:rPr>
        <w:rFonts w:ascii="Calibri" w:eastAsia="Calibri" w:hAnsi="Calibri" w:cs="Arial"/>
        <w:b/>
        <w:bCs/>
        <w:i/>
        <w:sz w:val="20"/>
        <w:lang w:val="en-US"/>
      </w:rPr>
      <w:t xml:space="preserve"> </w:t>
    </w:r>
    <w:r w:rsidR="003F07DF" w:rsidRPr="002416DC">
      <w:rPr>
        <w:rFonts w:ascii="Calibri" w:eastAsia="Calibri" w:hAnsi="Calibri" w:cs="Arial"/>
        <w:b/>
        <w:bCs/>
        <w:i/>
        <w:sz w:val="20"/>
      </w:rPr>
      <w:t>_v.</w:t>
    </w:r>
    <w:r w:rsidR="007C3DB9">
      <w:rPr>
        <w:rFonts w:ascii="Calibri" w:eastAsia="Calibri" w:hAnsi="Calibri" w:cs="Arial"/>
        <w:b/>
        <w:bCs/>
        <w:i/>
        <w:sz w:val="20"/>
        <w:lang w:val="en-US"/>
      </w:rPr>
      <w:t>1</w:t>
    </w:r>
    <w:r w:rsidR="008D1344">
      <w:rPr>
        <w:rFonts w:ascii="Calibri" w:eastAsia="Calibri" w:hAnsi="Calibri" w:cs="Arial"/>
        <w:b/>
        <w:bCs/>
        <w:i/>
        <w:sz w:val="20"/>
        <w:lang w:val="en-150"/>
      </w:rPr>
      <w:t>.1</w:t>
    </w:r>
  </w:p>
  <w:p w14:paraId="06911ED8" w14:textId="69C1A52A" w:rsidR="00D86DD0" w:rsidRPr="003C69A7" w:rsidRDefault="00D86DD0" w:rsidP="003C69A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29AD" w14:textId="77777777" w:rsidR="008D1344" w:rsidRDefault="008D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609F1"/>
    <w:multiLevelType w:val="hybridMultilevel"/>
    <w:tmpl w:val="C79AE182"/>
    <w:lvl w:ilvl="0" w:tplc="D1C2A3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E21CC7"/>
    <w:multiLevelType w:val="multilevel"/>
    <w:tmpl w:val="EE60A122"/>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6.%2"/>
      <w:lvlJc w:val="left"/>
      <w:pPr>
        <w:tabs>
          <w:tab w:val="num" w:pos="720"/>
        </w:tabs>
        <w:ind w:left="720" w:hanging="360"/>
      </w:pPr>
      <w:rPr>
        <w:rFonts w:asciiTheme="minorHAnsi" w:hAnsiTheme="minorHAnsi" w:cs="Arial" w:hint="default"/>
        <w:b/>
        <w:bCs/>
        <w:sz w:val="22"/>
        <w:szCs w:val="22"/>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2" w15:restartNumberingAfterBreak="0">
    <w:nsid w:val="5AC61672"/>
    <w:multiLevelType w:val="hybridMultilevel"/>
    <w:tmpl w:val="B6BCBC9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A3D0147"/>
    <w:multiLevelType w:val="multilevel"/>
    <w:tmpl w:val="2E2EEA9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6EF1584D"/>
    <w:multiLevelType w:val="hybridMultilevel"/>
    <w:tmpl w:val="B6BCBC9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forms" w:formatting="1" w:enforcement="1" w:cryptProviderType="rsaAES" w:cryptAlgorithmClass="hash" w:cryptAlgorithmType="typeAny" w:cryptAlgorithmSid="14" w:cryptSpinCount="100000" w:hash="H+sMJQG81UzhoR/9HKY329iYCAjQxbGWAOrIViDWx2e0LSqWzLrJtgIFxlwgNhr2jiGPLFIS2o+yIJP1DcFsVw==" w:salt="bg40wgrNSxqnWcnNIsqDe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D0"/>
    <w:rsid w:val="000154E3"/>
    <w:rsid w:val="00045632"/>
    <w:rsid w:val="000B39CD"/>
    <w:rsid w:val="00110903"/>
    <w:rsid w:val="00127A40"/>
    <w:rsid w:val="00143695"/>
    <w:rsid w:val="00251D3A"/>
    <w:rsid w:val="003258EE"/>
    <w:rsid w:val="00335E78"/>
    <w:rsid w:val="00352D41"/>
    <w:rsid w:val="00377968"/>
    <w:rsid w:val="003C69A7"/>
    <w:rsid w:val="003F07DF"/>
    <w:rsid w:val="003F6BCF"/>
    <w:rsid w:val="00433D99"/>
    <w:rsid w:val="004433EA"/>
    <w:rsid w:val="00482B01"/>
    <w:rsid w:val="00506C06"/>
    <w:rsid w:val="005544D0"/>
    <w:rsid w:val="0057766E"/>
    <w:rsid w:val="005A2CF7"/>
    <w:rsid w:val="005C4285"/>
    <w:rsid w:val="00662729"/>
    <w:rsid w:val="006B5301"/>
    <w:rsid w:val="006F7E60"/>
    <w:rsid w:val="007077EA"/>
    <w:rsid w:val="00735BE9"/>
    <w:rsid w:val="00774852"/>
    <w:rsid w:val="007B3031"/>
    <w:rsid w:val="007C3DB9"/>
    <w:rsid w:val="007D11C9"/>
    <w:rsid w:val="00812DC8"/>
    <w:rsid w:val="008178DE"/>
    <w:rsid w:val="00885D8A"/>
    <w:rsid w:val="008C26CF"/>
    <w:rsid w:val="008D1344"/>
    <w:rsid w:val="00985859"/>
    <w:rsid w:val="009B7D8C"/>
    <w:rsid w:val="009F505D"/>
    <w:rsid w:val="00AA12F2"/>
    <w:rsid w:val="00C128FA"/>
    <w:rsid w:val="00C156F7"/>
    <w:rsid w:val="00C4132E"/>
    <w:rsid w:val="00D0714E"/>
    <w:rsid w:val="00D10EA0"/>
    <w:rsid w:val="00D86DD0"/>
    <w:rsid w:val="00DA22C5"/>
    <w:rsid w:val="00FA7AEB"/>
    <w:rsid w:val="00FF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B1F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D0"/>
    <w:pPr>
      <w:spacing w:after="200" w:line="276" w:lineRule="auto"/>
    </w:pPr>
    <w:rPr>
      <w:rFonts w:eastAsiaTheme="minorEastAsia"/>
      <w:lang w:val="el-GR" w:eastAsia="el-GR"/>
    </w:rPr>
  </w:style>
  <w:style w:type="paragraph" w:styleId="Heading3">
    <w:name w:val="heading 3"/>
    <w:basedOn w:val="Normal"/>
    <w:next w:val="Normal"/>
    <w:link w:val="Heading3Char"/>
    <w:semiHidden/>
    <w:unhideWhenUsed/>
    <w:qFormat/>
    <w:rsid w:val="00C4132E"/>
    <w:pPr>
      <w:keepNext/>
      <w:spacing w:after="0" w:line="240" w:lineRule="auto"/>
      <w:jc w:val="right"/>
      <w:outlineLvl w:val="2"/>
    </w:pPr>
    <w:rPr>
      <w:rFonts w:ascii="Times New Roman" w:eastAsia="Times New Roman" w:hAnsi="Times New Roman" w:cs="Times New Roman"/>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DD0"/>
    <w:rPr>
      <w:rFonts w:eastAsiaTheme="minorEastAsia"/>
      <w:lang w:val="el-GR" w:eastAsia="el-GR"/>
    </w:rPr>
  </w:style>
  <w:style w:type="paragraph" w:styleId="Footer">
    <w:name w:val="footer"/>
    <w:basedOn w:val="Normal"/>
    <w:link w:val="FooterChar"/>
    <w:uiPriority w:val="99"/>
    <w:unhideWhenUsed/>
    <w:rsid w:val="00D8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DD0"/>
    <w:rPr>
      <w:rFonts w:eastAsiaTheme="minorEastAsia"/>
      <w:lang w:val="el-GR" w:eastAsia="el-GR"/>
    </w:rPr>
  </w:style>
  <w:style w:type="character" w:customStyle="1" w:styleId="Heading3Char">
    <w:name w:val="Heading 3 Char"/>
    <w:basedOn w:val="DefaultParagraphFont"/>
    <w:link w:val="Heading3"/>
    <w:semiHidden/>
    <w:rsid w:val="00C4132E"/>
    <w:rPr>
      <w:rFonts w:ascii="Times New Roman" w:eastAsia="Times New Roman" w:hAnsi="Times New Roman" w:cs="Times New Roman"/>
      <w:i/>
      <w:iCs/>
      <w:sz w:val="24"/>
      <w:szCs w:val="24"/>
      <w:lang w:val="en-US"/>
    </w:rPr>
  </w:style>
  <w:style w:type="character" w:styleId="Hyperlink">
    <w:name w:val="Hyperlink"/>
    <w:basedOn w:val="DefaultParagraphFont"/>
    <w:uiPriority w:val="99"/>
    <w:semiHidden/>
    <w:unhideWhenUsed/>
    <w:rsid w:val="00DA22C5"/>
    <w:rPr>
      <w:color w:val="0000FF"/>
      <w:u w:val="single"/>
    </w:rPr>
  </w:style>
  <w:style w:type="paragraph" w:styleId="BalloonText">
    <w:name w:val="Balloon Text"/>
    <w:basedOn w:val="Normal"/>
    <w:link w:val="BalloonTextChar"/>
    <w:uiPriority w:val="99"/>
    <w:semiHidden/>
    <w:unhideWhenUsed/>
    <w:rsid w:val="00D0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14E"/>
    <w:rPr>
      <w:rFonts w:ascii="Segoe UI" w:eastAsiaTheme="minorEastAsia" w:hAnsi="Segoe UI" w:cs="Segoe UI"/>
      <w:sz w:val="18"/>
      <w:szCs w:val="18"/>
      <w:lang w:val="el-GR" w:eastAsia="el-GR"/>
    </w:rPr>
  </w:style>
  <w:style w:type="character" w:styleId="CommentReference">
    <w:name w:val="annotation reference"/>
    <w:basedOn w:val="DefaultParagraphFont"/>
    <w:uiPriority w:val="99"/>
    <w:semiHidden/>
    <w:unhideWhenUsed/>
    <w:rsid w:val="00D0714E"/>
    <w:rPr>
      <w:sz w:val="16"/>
      <w:szCs w:val="16"/>
    </w:rPr>
  </w:style>
  <w:style w:type="paragraph" w:styleId="CommentText">
    <w:name w:val="annotation text"/>
    <w:basedOn w:val="Normal"/>
    <w:link w:val="CommentTextChar"/>
    <w:uiPriority w:val="99"/>
    <w:semiHidden/>
    <w:unhideWhenUsed/>
    <w:rsid w:val="00D0714E"/>
    <w:pPr>
      <w:spacing w:line="240" w:lineRule="auto"/>
    </w:pPr>
    <w:rPr>
      <w:sz w:val="20"/>
      <w:szCs w:val="20"/>
    </w:rPr>
  </w:style>
  <w:style w:type="character" w:customStyle="1" w:styleId="CommentTextChar">
    <w:name w:val="Comment Text Char"/>
    <w:basedOn w:val="DefaultParagraphFont"/>
    <w:link w:val="CommentText"/>
    <w:uiPriority w:val="99"/>
    <w:semiHidden/>
    <w:rsid w:val="00D0714E"/>
    <w:rPr>
      <w:rFonts w:eastAsiaTheme="minorEastAsia"/>
      <w:sz w:val="20"/>
      <w:szCs w:val="20"/>
      <w:lang w:val="el-GR" w:eastAsia="el-GR"/>
    </w:rPr>
  </w:style>
  <w:style w:type="paragraph" w:styleId="CommentSubject">
    <w:name w:val="annotation subject"/>
    <w:basedOn w:val="CommentText"/>
    <w:next w:val="CommentText"/>
    <w:link w:val="CommentSubjectChar"/>
    <w:uiPriority w:val="99"/>
    <w:semiHidden/>
    <w:unhideWhenUsed/>
    <w:rsid w:val="00D0714E"/>
    <w:rPr>
      <w:b/>
      <w:bCs/>
    </w:rPr>
  </w:style>
  <w:style w:type="character" w:customStyle="1" w:styleId="CommentSubjectChar">
    <w:name w:val="Comment Subject Char"/>
    <w:basedOn w:val="CommentTextChar"/>
    <w:link w:val="CommentSubject"/>
    <w:uiPriority w:val="99"/>
    <w:semiHidden/>
    <w:rsid w:val="00D0714E"/>
    <w:rPr>
      <w:rFonts w:eastAsiaTheme="minorEastAsia"/>
      <w:b/>
      <w:bCs/>
      <w:sz w:val="20"/>
      <w:szCs w:val="20"/>
      <w:lang w:val="el-GR" w:eastAsia="el-GR"/>
    </w:rPr>
  </w:style>
  <w:style w:type="paragraph" w:styleId="ListParagraph">
    <w:name w:val="List Paragraph"/>
    <w:basedOn w:val="Normal"/>
    <w:uiPriority w:val="34"/>
    <w:qFormat/>
    <w:rsid w:val="00D0714E"/>
    <w:pPr>
      <w:ind w:left="720"/>
      <w:contextualSpacing/>
    </w:pPr>
  </w:style>
  <w:style w:type="table" w:styleId="TableGrid">
    <w:name w:val="Table Grid"/>
    <w:basedOn w:val="TableNormal"/>
    <w:uiPriority w:val="59"/>
    <w:rsid w:val="00D10EA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7EA"/>
    <w:rPr>
      <w:color w:val="808080"/>
    </w:rPr>
  </w:style>
  <w:style w:type="paragraph" w:styleId="FootnoteText">
    <w:name w:val="footnote text"/>
    <w:basedOn w:val="Normal"/>
    <w:link w:val="FootnoteTextChar"/>
    <w:uiPriority w:val="99"/>
    <w:semiHidden/>
    <w:unhideWhenUsed/>
    <w:rsid w:val="00433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D99"/>
    <w:rPr>
      <w:rFonts w:eastAsiaTheme="minorEastAsia"/>
      <w:sz w:val="20"/>
      <w:szCs w:val="20"/>
      <w:lang w:val="el-GR" w:eastAsia="el-GR"/>
    </w:rPr>
  </w:style>
  <w:style w:type="character" w:styleId="FootnoteReference">
    <w:name w:val="footnote reference"/>
    <w:basedOn w:val="DefaultParagraphFont"/>
    <w:uiPriority w:val="99"/>
    <w:semiHidden/>
    <w:unhideWhenUsed/>
    <w:rsid w:val="00433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2761">
      <w:bodyDiv w:val="1"/>
      <w:marLeft w:val="0"/>
      <w:marRight w:val="0"/>
      <w:marTop w:val="0"/>
      <w:marBottom w:val="0"/>
      <w:divBdr>
        <w:top w:val="none" w:sz="0" w:space="0" w:color="auto"/>
        <w:left w:val="none" w:sz="0" w:space="0" w:color="auto"/>
        <w:bottom w:val="none" w:sz="0" w:space="0" w:color="auto"/>
        <w:right w:val="none" w:sz="0" w:space="0" w:color="auto"/>
      </w:divBdr>
    </w:div>
    <w:div w:id="12919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BCF31A23-60B8-43A2-BB77-21CE62354558}"/>
      </w:docPartPr>
      <w:docPartBody>
        <w:p w:rsidR="005228DA" w:rsidRDefault="00A5697C">
          <w:r w:rsidRPr="004E11A1">
            <w:rPr>
              <w:rStyle w:val="PlaceholderText"/>
            </w:rPr>
            <w:t>Click or tap to enter a date.</w:t>
          </w:r>
        </w:p>
      </w:docPartBody>
    </w:docPart>
    <w:docPart>
      <w:docPartPr>
        <w:name w:val="2DEE7152195F4FCEA1BBE61282BF5043"/>
        <w:category>
          <w:name w:val="General"/>
          <w:gallery w:val="placeholder"/>
        </w:category>
        <w:types>
          <w:type w:val="bbPlcHdr"/>
        </w:types>
        <w:behaviors>
          <w:behavior w:val="content"/>
        </w:behaviors>
        <w:guid w:val="{E9E78BB1-5319-442E-A0D6-BDC3E83EEEB4}"/>
      </w:docPartPr>
      <w:docPartBody>
        <w:p w:rsidR="00AE7B09" w:rsidRDefault="009575AB" w:rsidP="009575AB">
          <w:pPr>
            <w:pStyle w:val="2DEE7152195F4FCEA1BBE61282BF5043"/>
          </w:pPr>
          <w:r w:rsidRPr="007D6416">
            <w:rPr>
              <w:rStyle w:val="PlaceholderText"/>
            </w:rPr>
            <w:t>Click or tap here to enter text.</w:t>
          </w:r>
        </w:p>
      </w:docPartBody>
    </w:docPart>
    <w:docPart>
      <w:docPartPr>
        <w:name w:val="84128903FB2B4DC8A69E80843967F32D"/>
        <w:category>
          <w:name w:val="General"/>
          <w:gallery w:val="placeholder"/>
        </w:category>
        <w:types>
          <w:type w:val="bbPlcHdr"/>
        </w:types>
        <w:behaviors>
          <w:behavior w:val="content"/>
        </w:behaviors>
        <w:guid w:val="{612E0C4C-EAE2-4788-9EC6-50983F537C32}"/>
      </w:docPartPr>
      <w:docPartBody>
        <w:p w:rsidR="00AE7B09" w:rsidRDefault="009575AB" w:rsidP="009575AB">
          <w:pPr>
            <w:pStyle w:val="84128903FB2B4DC8A69E80843967F32D"/>
          </w:pPr>
          <w:r w:rsidRPr="007D6416">
            <w:rPr>
              <w:rStyle w:val="PlaceholderText"/>
            </w:rPr>
            <w:t>Click or tap here to enter text.</w:t>
          </w:r>
        </w:p>
      </w:docPartBody>
    </w:docPart>
    <w:docPart>
      <w:docPartPr>
        <w:name w:val="261BC603AB59471190E6AACEB5F3A408"/>
        <w:category>
          <w:name w:val="General"/>
          <w:gallery w:val="placeholder"/>
        </w:category>
        <w:types>
          <w:type w:val="bbPlcHdr"/>
        </w:types>
        <w:behaviors>
          <w:behavior w:val="content"/>
        </w:behaviors>
        <w:guid w:val="{5C2319C6-01BE-4E90-BBAA-411F91C290AE}"/>
      </w:docPartPr>
      <w:docPartBody>
        <w:p w:rsidR="00AE7B09" w:rsidRDefault="009575AB" w:rsidP="009575AB">
          <w:pPr>
            <w:pStyle w:val="261BC603AB59471190E6AACEB5F3A408"/>
          </w:pPr>
          <w:r w:rsidRPr="007D6416">
            <w:rPr>
              <w:rStyle w:val="PlaceholderText"/>
            </w:rPr>
            <w:t>Click or tap here to enter text.</w:t>
          </w:r>
        </w:p>
      </w:docPartBody>
    </w:docPart>
    <w:docPart>
      <w:docPartPr>
        <w:name w:val="188048AB6CD64EBE9FBBC0584392ABC7"/>
        <w:category>
          <w:name w:val="General"/>
          <w:gallery w:val="placeholder"/>
        </w:category>
        <w:types>
          <w:type w:val="bbPlcHdr"/>
        </w:types>
        <w:behaviors>
          <w:behavior w:val="content"/>
        </w:behaviors>
        <w:guid w:val="{82968F48-4AD4-4174-96A5-BCD27BF9097F}"/>
      </w:docPartPr>
      <w:docPartBody>
        <w:p w:rsidR="00AE7B09" w:rsidRDefault="009575AB" w:rsidP="009575AB">
          <w:pPr>
            <w:pStyle w:val="188048AB6CD64EBE9FBBC0584392ABC7"/>
          </w:pPr>
          <w:r w:rsidRPr="007D6416">
            <w:rPr>
              <w:rStyle w:val="PlaceholderText"/>
            </w:rPr>
            <w:t>Click or tap here to enter text.</w:t>
          </w:r>
        </w:p>
      </w:docPartBody>
    </w:docPart>
    <w:docPart>
      <w:docPartPr>
        <w:name w:val="A11999CCBE234900BC3255F87AF4FC38"/>
        <w:category>
          <w:name w:val="General"/>
          <w:gallery w:val="placeholder"/>
        </w:category>
        <w:types>
          <w:type w:val="bbPlcHdr"/>
        </w:types>
        <w:behaviors>
          <w:behavior w:val="content"/>
        </w:behaviors>
        <w:guid w:val="{2F57E7F2-595D-4679-8A7E-F67B8864891F}"/>
      </w:docPartPr>
      <w:docPartBody>
        <w:p w:rsidR="00AE7B09" w:rsidRDefault="009575AB" w:rsidP="009575AB">
          <w:pPr>
            <w:pStyle w:val="A11999CCBE234900BC3255F87AF4FC38"/>
          </w:pPr>
          <w:r w:rsidRPr="007D6416">
            <w:rPr>
              <w:rStyle w:val="PlaceholderText"/>
            </w:rPr>
            <w:t>Click or tap here to enter text.</w:t>
          </w:r>
        </w:p>
      </w:docPartBody>
    </w:docPart>
    <w:docPart>
      <w:docPartPr>
        <w:name w:val="60DDE7EA66F24543AE740DD313847869"/>
        <w:category>
          <w:name w:val="General"/>
          <w:gallery w:val="placeholder"/>
        </w:category>
        <w:types>
          <w:type w:val="bbPlcHdr"/>
        </w:types>
        <w:behaviors>
          <w:behavior w:val="content"/>
        </w:behaviors>
        <w:guid w:val="{26AAC7CE-FB15-40A1-97B0-3621F80FF0BC}"/>
      </w:docPartPr>
      <w:docPartBody>
        <w:p w:rsidR="00AE7B09" w:rsidRDefault="009575AB" w:rsidP="009575AB">
          <w:pPr>
            <w:pStyle w:val="60DDE7EA66F24543AE740DD313847869"/>
          </w:pPr>
          <w:r w:rsidRPr="007D6416">
            <w:rPr>
              <w:rStyle w:val="PlaceholderText"/>
            </w:rPr>
            <w:t>Click or tap here to enter text.</w:t>
          </w:r>
        </w:p>
      </w:docPartBody>
    </w:docPart>
    <w:docPart>
      <w:docPartPr>
        <w:name w:val="0C9B927881FB404D820D8C56A9160356"/>
        <w:category>
          <w:name w:val="General"/>
          <w:gallery w:val="placeholder"/>
        </w:category>
        <w:types>
          <w:type w:val="bbPlcHdr"/>
        </w:types>
        <w:behaviors>
          <w:behavior w:val="content"/>
        </w:behaviors>
        <w:guid w:val="{D71AD105-D05E-4C53-8E12-1FF9BB38B0A7}"/>
      </w:docPartPr>
      <w:docPartBody>
        <w:p w:rsidR="00AE7B09" w:rsidRDefault="009575AB" w:rsidP="009575AB">
          <w:pPr>
            <w:pStyle w:val="0C9B927881FB404D820D8C56A9160356"/>
          </w:pPr>
          <w:r w:rsidRPr="007D6416">
            <w:rPr>
              <w:rStyle w:val="PlaceholderText"/>
            </w:rPr>
            <w:t>Click or tap here to enter text.</w:t>
          </w:r>
        </w:p>
      </w:docPartBody>
    </w:docPart>
    <w:docPart>
      <w:docPartPr>
        <w:name w:val="2A10FFF3004C437D90429FF5E6BC5B04"/>
        <w:category>
          <w:name w:val="General"/>
          <w:gallery w:val="placeholder"/>
        </w:category>
        <w:types>
          <w:type w:val="bbPlcHdr"/>
        </w:types>
        <w:behaviors>
          <w:behavior w:val="content"/>
        </w:behaviors>
        <w:guid w:val="{FB32F023-E456-4CE3-9756-D039A1D8FC62}"/>
      </w:docPartPr>
      <w:docPartBody>
        <w:p w:rsidR="00AE7B09" w:rsidRDefault="009575AB" w:rsidP="009575AB">
          <w:pPr>
            <w:pStyle w:val="2A10FFF3004C437D90429FF5E6BC5B04"/>
          </w:pPr>
          <w:r w:rsidRPr="007D6416">
            <w:rPr>
              <w:rStyle w:val="PlaceholderText"/>
            </w:rPr>
            <w:t>Click or tap here to enter text.</w:t>
          </w:r>
        </w:p>
      </w:docPartBody>
    </w:docPart>
    <w:docPart>
      <w:docPartPr>
        <w:name w:val="8479DC2EE6C34A748A995B856AD9F3CC"/>
        <w:category>
          <w:name w:val="General"/>
          <w:gallery w:val="placeholder"/>
        </w:category>
        <w:types>
          <w:type w:val="bbPlcHdr"/>
        </w:types>
        <w:behaviors>
          <w:behavior w:val="content"/>
        </w:behaviors>
        <w:guid w:val="{9F37CEDC-9FD7-4258-A307-D8515F2864F9}"/>
      </w:docPartPr>
      <w:docPartBody>
        <w:p w:rsidR="00AE7B09" w:rsidRDefault="009575AB" w:rsidP="009575AB">
          <w:pPr>
            <w:pStyle w:val="8479DC2EE6C34A748A995B856AD9F3CC"/>
          </w:pPr>
          <w:r w:rsidRPr="007D6416">
            <w:rPr>
              <w:rStyle w:val="PlaceholderText"/>
            </w:rPr>
            <w:t>Click or tap here to enter text.</w:t>
          </w:r>
        </w:p>
      </w:docPartBody>
    </w:docPart>
    <w:docPart>
      <w:docPartPr>
        <w:name w:val="BA3DA0EC1BAB48E09E9297D84CA93EB2"/>
        <w:category>
          <w:name w:val="General"/>
          <w:gallery w:val="placeholder"/>
        </w:category>
        <w:types>
          <w:type w:val="bbPlcHdr"/>
        </w:types>
        <w:behaviors>
          <w:behavior w:val="content"/>
        </w:behaviors>
        <w:guid w:val="{E3D74A86-3E60-4EFF-9181-9D4D5EA7E40D}"/>
      </w:docPartPr>
      <w:docPartBody>
        <w:p w:rsidR="00AE7B09" w:rsidRDefault="009575AB" w:rsidP="009575AB">
          <w:pPr>
            <w:pStyle w:val="BA3DA0EC1BAB48E09E9297D84CA93EB2"/>
          </w:pPr>
          <w:r w:rsidRPr="007D6416">
            <w:rPr>
              <w:rStyle w:val="PlaceholderText"/>
            </w:rPr>
            <w:t>Click or tap here to enter text.</w:t>
          </w:r>
        </w:p>
      </w:docPartBody>
    </w:docPart>
    <w:docPart>
      <w:docPartPr>
        <w:name w:val="FD5DA29E135E4166A54A946BF6F2F4CF"/>
        <w:category>
          <w:name w:val="General"/>
          <w:gallery w:val="placeholder"/>
        </w:category>
        <w:types>
          <w:type w:val="bbPlcHdr"/>
        </w:types>
        <w:behaviors>
          <w:behavior w:val="content"/>
        </w:behaviors>
        <w:guid w:val="{4E533D03-DB52-4DB7-887A-F656CB8C7290}"/>
      </w:docPartPr>
      <w:docPartBody>
        <w:p w:rsidR="00AE7B09" w:rsidRDefault="009575AB" w:rsidP="009575AB">
          <w:pPr>
            <w:pStyle w:val="FD5DA29E135E4166A54A946BF6F2F4CF"/>
          </w:pPr>
          <w:r w:rsidRPr="007D6416">
            <w:rPr>
              <w:rStyle w:val="PlaceholderText"/>
            </w:rPr>
            <w:t>Click or tap here to enter text.</w:t>
          </w:r>
        </w:p>
      </w:docPartBody>
    </w:docPart>
    <w:docPart>
      <w:docPartPr>
        <w:name w:val="B8EF3192D60B4EC7812DCAF2498D7FC5"/>
        <w:category>
          <w:name w:val="General"/>
          <w:gallery w:val="placeholder"/>
        </w:category>
        <w:types>
          <w:type w:val="bbPlcHdr"/>
        </w:types>
        <w:behaviors>
          <w:behavior w:val="content"/>
        </w:behaviors>
        <w:guid w:val="{4ED55386-6D3C-45FD-A858-04257BFCE9D0}"/>
      </w:docPartPr>
      <w:docPartBody>
        <w:p w:rsidR="00AE7B09" w:rsidRDefault="009575AB" w:rsidP="009575AB">
          <w:pPr>
            <w:pStyle w:val="B8EF3192D60B4EC7812DCAF2498D7FC5"/>
          </w:pPr>
          <w:r w:rsidRPr="007D6416">
            <w:rPr>
              <w:rStyle w:val="PlaceholderText"/>
            </w:rPr>
            <w:t>Click or tap here to enter text.</w:t>
          </w:r>
        </w:p>
      </w:docPartBody>
    </w:docPart>
    <w:docPart>
      <w:docPartPr>
        <w:name w:val="106AFEA5B0F040619897BAF51068271B"/>
        <w:category>
          <w:name w:val="General"/>
          <w:gallery w:val="placeholder"/>
        </w:category>
        <w:types>
          <w:type w:val="bbPlcHdr"/>
        </w:types>
        <w:behaviors>
          <w:behavior w:val="content"/>
        </w:behaviors>
        <w:guid w:val="{EB7B3667-130A-4D2B-B89F-2E60774A7574}"/>
      </w:docPartPr>
      <w:docPartBody>
        <w:p w:rsidR="00391D57" w:rsidRDefault="00AE7B09" w:rsidP="00AE7B09">
          <w:pPr>
            <w:pStyle w:val="106AFEA5B0F040619897BAF51068271B"/>
          </w:pPr>
          <w:r w:rsidRPr="007D6416">
            <w:rPr>
              <w:rStyle w:val="PlaceholderText"/>
            </w:rPr>
            <w:t>Click or tap here to enter text.</w:t>
          </w:r>
        </w:p>
      </w:docPartBody>
    </w:docPart>
    <w:docPart>
      <w:docPartPr>
        <w:name w:val="8EA0337E8A394B8D822230B10F02E4FD"/>
        <w:category>
          <w:name w:val="General"/>
          <w:gallery w:val="placeholder"/>
        </w:category>
        <w:types>
          <w:type w:val="bbPlcHdr"/>
        </w:types>
        <w:behaviors>
          <w:behavior w:val="content"/>
        </w:behaviors>
        <w:guid w:val="{9EAEB819-1B58-4773-A736-B64F0BDE881E}"/>
      </w:docPartPr>
      <w:docPartBody>
        <w:p w:rsidR="00391D57" w:rsidRDefault="00AE7B09" w:rsidP="00AE7B09">
          <w:pPr>
            <w:pStyle w:val="8EA0337E8A394B8D822230B10F02E4FD"/>
          </w:pPr>
          <w:r w:rsidRPr="007D6416">
            <w:rPr>
              <w:rStyle w:val="PlaceholderText"/>
            </w:rPr>
            <w:t>Click or tap here to enter text.</w:t>
          </w:r>
        </w:p>
      </w:docPartBody>
    </w:docPart>
    <w:docPart>
      <w:docPartPr>
        <w:name w:val="E22D5485EB6E444D93086E9EDFA61A5A"/>
        <w:category>
          <w:name w:val="General"/>
          <w:gallery w:val="placeholder"/>
        </w:category>
        <w:types>
          <w:type w:val="bbPlcHdr"/>
        </w:types>
        <w:behaviors>
          <w:behavior w:val="content"/>
        </w:behaviors>
        <w:guid w:val="{66C07047-340E-476D-ABD5-4407F07D7AA7}"/>
      </w:docPartPr>
      <w:docPartBody>
        <w:p w:rsidR="00391D57" w:rsidRDefault="00AE7B09" w:rsidP="00AE7B09">
          <w:pPr>
            <w:pStyle w:val="E22D5485EB6E444D93086E9EDFA61A5A"/>
          </w:pPr>
          <w:r w:rsidRPr="007D6416">
            <w:rPr>
              <w:rStyle w:val="PlaceholderText"/>
            </w:rPr>
            <w:t>Click or tap here to enter text.</w:t>
          </w:r>
        </w:p>
      </w:docPartBody>
    </w:docPart>
    <w:docPart>
      <w:docPartPr>
        <w:name w:val="C5A9CCF855DB4D678C7AB7A34F349AF8"/>
        <w:category>
          <w:name w:val="General"/>
          <w:gallery w:val="placeholder"/>
        </w:category>
        <w:types>
          <w:type w:val="bbPlcHdr"/>
        </w:types>
        <w:behaviors>
          <w:behavior w:val="content"/>
        </w:behaviors>
        <w:guid w:val="{2BD300EC-3D25-4626-BF1B-E9CD1DFDE87C}"/>
      </w:docPartPr>
      <w:docPartBody>
        <w:p w:rsidR="00391D57" w:rsidRDefault="00AE7B09" w:rsidP="00AE7B09">
          <w:pPr>
            <w:pStyle w:val="C5A9CCF855DB4D678C7AB7A34F349AF8"/>
          </w:pPr>
          <w:r w:rsidRPr="007D6416">
            <w:rPr>
              <w:rStyle w:val="PlaceholderText"/>
            </w:rPr>
            <w:t>Click or tap here to enter text.</w:t>
          </w:r>
        </w:p>
      </w:docPartBody>
    </w:docPart>
    <w:docPart>
      <w:docPartPr>
        <w:name w:val="131FEF75883D403D8921EE76AD39480E"/>
        <w:category>
          <w:name w:val="General"/>
          <w:gallery w:val="placeholder"/>
        </w:category>
        <w:types>
          <w:type w:val="bbPlcHdr"/>
        </w:types>
        <w:behaviors>
          <w:behavior w:val="content"/>
        </w:behaviors>
        <w:guid w:val="{D818AA5F-887D-4784-903C-6D231100EEFD}"/>
      </w:docPartPr>
      <w:docPartBody>
        <w:p w:rsidR="00391D57" w:rsidRDefault="00AE7B09" w:rsidP="00AE7B09">
          <w:pPr>
            <w:pStyle w:val="131FEF75883D403D8921EE76AD39480E"/>
          </w:pPr>
          <w:r w:rsidRPr="007D6416">
            <w:rPr>
              <w:rStyle w:val="PlaceholderText"/>
            </w:rPr>
            <w:t>Click or tap here to enter text.</w:t>
          </w:r>
        </w:p>
      </w:docPartBody>
    </w:docPart>
    <w:docPart>
      <w:docPartPr>
        <w:name w:val="1E3EDEF1FAE44322B21D079F2B542481"/>
        <w:category>
          <w:name w:val="General"/>
          <w:gallery w:val="placeholder"/>
        </w:category>
        <w:types>
          <w:type w:val="bbPlcHdr"/>
        </w:types>
        <w:behaviors>
          <w:behavior w:val="content"/>
        </w:behaviors>
        <w:guid w:val="{283660AD-C472-432E-913C-1ADFA26C1FFF}"/>
      </w:docPartPr>
      <w:docPartBody>
        <w:p w:rsidR="00391D57" w:rsidRDefault="00AE7B09" w:rsidP="00AE7B09">
          <w:pPr>
            <w:pStyle w:val="1E3EDEF1FAE44322B21D079F2B542481"/>
          </w:pPr>
          <w:r w:rsidRPr="007D6416">
            <w:rPr>
              <w:rStyle w:val="PlaceholderText"/>
            </w:rPr>
            <w:t>Click or tap here to enter text.</w:t>
          </w:r>
        </w:p>
      </w:docPartBody>
    </w:docPart>
    <w:docPart>
      <w:docPartPr>
        <w:name w:val="FC0CE2CA1E5F488498F29A72049FD53D"/>
        <w:category>
          <w:name w:val="General"/>
          <w:gallery w:val="placeholder"/>
        </w:category>
        <w:types>
          <w:type w:val="bbPlcHdr"/>
        </w:types>
        <w:behaviors>
          <w:behavior w:val="content"/>
        </w:behaviors>
        <w:guid w:val="{64D40ADC-9274-4D44-8754-0510FAD5AC9B}"/>
      </w:docPartPr>
      <w:docPartBody>
        <w:p w:rsidR="00391D57" w:rsidRDefault="00AE7B09" w:rsidP="00AE7B09">
          <w:pPr>
            <w:pStyle w:val="FC0CE2CA1E5F488498F29A72049FD53D"/>
          </w:pPr>
          <w:r w:rsidRPr="007D6416">
            <w:rPr>
              <w:rStyle w:val="PlaceholderText"/>
            </w:rPr>
            <w:t>Click or tap here to enter text.</w:t>
          </w:r>
        </w:p>
      </w:docPartBody>
    </w:docPart>
    <w:docPart>
      <w:docPartPr>
        <w:name w:val="949A87F7D16B429185E70A409C523771"/>
        <w:category>
          <w:name w:val="General"/>
          <w:gallery w:val="placeholder"/>
        </w:category>
        <w:types>
          <w:type w:val="bbPlcHdr"/>
        </w:types>
        <w:behaviors>
          <w:behavior w:val="content"/>
        </w:behaviors>
        <w:guid w:val="{670F7AA7-73BD-4906-84AD-6B641E5DD26B}"/>
      </w:docPartPr>
      <w:docPartBody>
        <w:p w:rsidR="00691E02" w:rsidRDefault="00391D57" w:rsidP="00391D57">
          <w:pPr>
            <w:pStyle w:val="949A87F7D16B429185E70A409C523771"/>
          </w:pPr>
          <w:r w:rsidRPr="007D6416">
            <w:rPr>
              <w:rStyle w:val="PlaceholderText"/>
            </w:rPr>
            <w:t>Click or tap here to enter text.</w:t>
          </w:r>
        </w:p>
      </w:docPartBody>
    </w:docPart>
    <w:docPart>
      <w:docPartPr>
        <w:name w:val="1D8C83D647CC45568C71EB5887CF6DFD"/>
        <w:category>
          <w:name w:val="General"/>
          <w:gallery w:val="placeholder"/>
        </w:category>
        <w:types>
          <w:type w:val="bbPlcHdr"/>
        </w:types>
        <w:behaviors>
          <w:behavior w:val="content"/>
        </w:behaviors>
        <w:guid w:val="{3F5378E9-E364-4BB1-869C-05553E05D33D}"/>
      </w:docPartPr>
      <w:docPartBody>
        <w:p w:rsidR="00691E02" w:rsidRDefault="00391D57" w:rsidP="00391D57">
          <w:pPr>
            <w:pStyle w:val="1D8C83D647CC45568C71EB5887CF6DFD"/>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7C"/>
    <w:rsid w:val="00391D57"/>
    <w:rsid w:val="005228DA"/>
    <w:rsid w:val="00691E02"/>
    <w:rsid w:val="009575AB"/>
    <w:rsid w:val="00A5697C"/>
    <w:rsid w:val="00AE7B09"/>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D57"/>
    <w:rPr>
      <w:color w:val="808080"/>
    </w:rPr>
  </w:style>
  <w:style w:type="paragraph" w:customStyle="1" w:styleId="2DEE7152195F4FCEA1BBE61282BF5043">
    <w:name w:val="2DEE7152195F4FCEA1BBE61282BF5043"/>
    <w:rsid w:val="009575AB"/>
  </w:style>
  <w:style w:type="paragraph" w:customStyle="1" w:styleId="84128903FB2B4DC8A69E80843967F32D">
    <w:name w:val="84128903FB2B4DC8A69E80843967F32D"/>
    <w:rsid w:val="009575AB"/>
  </w:style>
  <w:style w:type="paragraph" w:customStyle="1" w:styleId="261BC603AB59471190E6AACEB5F3A408">
    <w:name w:val="261BC603AB59471190E6AACEB5F3A408"/>
    <w:rsid w:val="009575AB"/>
  </w:style>
  <w:style w:type="paragraph" w:customStyle="1" w:styleId="188048AB6CD64EBE9FBBC0584392ABC7">
    <w:name w:val="188048AB6CD64EBE9FBBC0584392ABC7"/>
    <w:rsid w:val="009575AB"/>
  </w:style>
  <w:style w:type="paragraph" w:customStyle="1" w:styleId="A11999CCBE234900BC3255F87AF4FC38">
    <w:name w:val="A11999CCBE234900BC3255F87AF4FC38"/>
    <w:rsid w:val="009575AB"/>
  </w:style>
  <w:style w:type="paragraph" w:customStyle="1" w:styleId="7DBCCF656F5943219E24F55254ABD237">
    <w:name w:val="7DBCCF656F5943219E24F55254ABD237"/>
    <w:rsid w:val="009575AB"/>
  </w:style>
  <w:style w:type="paragraph" w:customStyle="1" w:styleId="60DDE7EA66F24543AE740DD313847869">
    <w:name w:val="60DDE7EA66F24543AE740DD313847869"/>
    <w:rsid w:val="009575AB"/>
  </w:style>
  <w:style w:type="paragraph" w:customStyle="1" w:styleId="0C9B927881FB404D820D8C56A9160356">
    <w:name w:val="0C9B927881FB404D820D8C56A9160356"/>
    <w:rsid w:val="009575AB"/>
  </w:style>
  <w:style w:type="paragraph" w:customStyle="1" w:styleId="2A10FFF3004C437D90429FF5E6BC5B04">
    <w:name w:val="2A10FFF3004C437D90429FF5E6BC5B04"/>
    <w:rsid w:val="009575AB"/>
  </w:style>
  <w:style w:type="paragraph" w:customStyle="1" w:styleId="8479DC2EE6C34A748A995B856AD9F3CC">
    <w:name w:val="8479DC2EE6C34A748A995B856AD9F3CC"/>
    <w:rsid w:val="009575AB"/>
  </w:style>
  <w:style w:type="paragraph" w:customStyle="1" w:styleId="BA3DA0EC1BAB48E09E9297D84CA93EB2">
    <w:name w:val="BA3DA0EC1BAB48E09E9297D84CA93EB2"/>
    <w:rsid w:val="009575AB"/>
  </w:style>
  <w:style w:type="paragraph" w:customStyle="1" w:styleId="FD5DA29E135E4166A54A946BF6F2F4CF">
    <w:name w:val="FD5DA29E135E4166A54A946BF6F2F4CF"/>
    <w:rsid w:val="009575AB"/>
  </w:style>
  <w:style w:type="paragraph" w:customStyle="1" w:styleId="B8EF3192D60B4EC7812DCAF2498D7FC5">
    <w:name w:val="B8EF3192D60B4EC7812DCAF2498D7FC5"/>
    <w:rsid w:val="009575AB"/>
  </w:style>
  <w:style w:type="paragraph" w:customStyle="1" w:styleId="106AFEA5B0F040619897BAF51068271B">
    <w:name w:val="106AFEA5B0F040619897BAF51068271B"/>
    <w:rsid w:val="00AE7B09"/>
  </w:style>
  <w:style w:type="paragraph" w:customStyle="1" w:styleId="8EA0337E8A394B8D822230B10F02E4FD">
    <w:name w:val="8EA0337E8A394B8D822230B10F02E4FD"/>
    <w:rsid w:val="00AE7B09"/>
  </w:style>
  <w:style w:type="paragraph" w:customStyle="1" w:styleId="E22D5485EB6E444D93086E9EDFA61A5A">
    <w:name w:val="E22D5485EB6E444D93086E9EDFA61A5A"/>
    <w:rsid w:val="00AE7B09"/>
  </w:style>
  <w:style w:type="paragraph" w:customStyle="1" w:styleId="C5A9CCF855DB4D678C7AB7A34F349AF8">
    <w:name w:val="C5A9CCF855DB4D678C7AB7A34F349AF8"/>
    <w:rsid w:val="00AE7B09"/>
  </w:style>
  <w:style w:type="paragraph" w:customStyle="1" w:styleId="131FEF75883D403D8921EE76AD39480E">
    <w:name w:val="131FEF75883D403D8921EE76AD39480E"/>
    <w:rsid w:val="00AE7B09"/>
  </w:style>
  <w:style w:type="paragraph" w:customStyle="1" w:styleId="1E3EDEF1FAE44322B21D079F2B542481">
    <w:name w:val="1E3EDEF1FAE44322B21D079F2B542481"/>
    <w:rsid w:val="00AE7B09"/>
  </w:style>
  <w:style w:type="paragraph" w:customStyle="1" w:styleId="FC0CE2CA1E5F488498F29A72049FD53D">
    <w:name w:val="FC0CE2CA1E5F488498F29A72049FD53D"/>
    <w:rsid w:val="00AE7B09"/>
  </w:style>
  <w:style w:type="paragraph" w:customStyle="1" w:styleId="949A87F7D16B429185E70A409C523771">
    <w:name w:val="949A87F7D16B429185E70A409C523771"/>
    <w:rsid w:val="00391D57"/>
  </w:style>
  <w:style w:type="paragraph" w:customStyle="1" w:styleId="1D8C83D647CC45568C71EB5887CF6DFD">
    <w:name w:val="1D8C83D647CC45568C71EB5887CF6DFD"/>
    <w:rsid w:val="00391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E5E7-9C41-4C43-8972-9C3AA5F9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2020-07-06T10:46:00Z</dcterms:created>
  <dcterms:modified xsi:type="dcterms:W3CDTF">2020-07-06T11:42:00Z</dcterms:modified>
</cp:coreProperties>
</file>